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688B3" w14:textId="77777777" w:rsidR="00D8096A" w:rsidRPr="00280DEB" w:rsidRDefault="00D8096A" w:rsidP="00DC53FB">
      <w:pPr>
        <w:widowControl w:val="0"/>
        <w:autoSpaceDE w:val="0"/>
        <w:autoSpaceDN w:val="0"/>
        <w:adjustRightInd w:val="0"/>
        <w:spacing w:after="0" w:line="480" w:lineRule="auto"/>
        <w:jc w:val="center"/>
        <w:rPr>
          <w:rFonts w:asciiTheme="majorBidi" w:hAnsiTheme="majorBidi" w:cstheme="majorBidi"/>
          <w:b/>
          <w:bCs/>
          <w:sz w:val="24"/>
          <w:szCs w:val="24"/>
        </w:rPr>
      </w:pPr>
      <w:r w:rsidRPr="00280DEB">
        <w:rPr>
          <w:rFonts w:asciiTheme="majorBidi" w:hAnsiTheme="majorBidi" w:cstheme="majorBidi"/>
          <w:b/>
          <w:bCs/>
          <w:sz w:val="24"/>
          <w:szCs w:val="24"/>
        </w:rPr>
        <w:t xml:space="preserve">Title: Effect of high flow nasal cannula versus nasal continuous positive airway pressure on clinical outcomes of preterm infants with Respiratory distress syndrome </w:t>
      </w:r>
    </w:p>
    <w:p w14:paraId="2337194A" w14:textId="77777777" w:rsidR="00D8096A" w:rsidRPr="00280DEB" w:rsidRDefault="00D8096A" w:rsidP="00D76440">
      <w:pPr>
        <w:widowControl w:val="0"/>
        <w:autoSpaceDE w:val="0"/>
        <w:autoSpaceDN w:val="0"/>
        <w:adjustRightInd w:val="0"/>
        <w:spacing w:after="0" w:line="480" w:lineRule="auto"/>
        <w:jc w:val="center"/>
        <w:rPr>
          <w:rFonts w:asciiTheme="majorBidi" w:hAnsiTheme="majorBidi" w:cstheme="majorBidi"/>
          <w:b/>
          <w:bCs/>
          <w:sz w:val="24"/>
          <w:szCs w:val="24"/>
        </w:rPr>
      </w:pPr>
      <w:r w:rsidRPr="00280DEB">
        <w:rPr>
          <w:rFonts w:asciiTheme="majorBidi" w:hAnsiTheme="majorBidi" w:cstheme="majorBidi"/>
          <w:b/>
          <w:bCs/>
          <w:sz w:val="24"/>
          <w:szCs w:val="24"/>
        </w:rPr>
        <w:t>Running title: HFNC vs. NCPAP in Preterm RDS Outcomes</w:t>
      </w:r>
    </w:p>
    <w:p w14:paraId="13D1F2B1" w14:textId="77777777" w:rsidR="00D8096A" w:rsidRPr="00280DEB" w:rsidRDefault="00D8096A" w:rsidP="00A56CF2">
      <w:pPr>
        <w:widowControl w:val="0"/>
        <w:autoSpaceDE w:val="0"/>
        <w:autoSpaceDN w:val="0"/>
        <w:adjustRightInd w:val="0"/>
        <w:spacing w:after="0" w:line="480" w:lineRule="auto"/>
        <w:jc w:val="both"/>
        <w:rPr>
          <w:rFonts w:asciiTheme="majorBidi" w:hAnsiTheme="majorBidi" w:cstheme="majorBidi"/>
          <w:b/>
          <w:bCs/>
          <w:sz w:val="24"/>
          <w:szCs w:val="24"/>
        </w:rPr>
      </w:pPr>
      <w:r w:rsidRPr="00280DEB">
        <w:rPr>
          <w:rFonts w:asciiTheme="majorBidi" w:hAnsiTheme="majorBidi" w:cstheme="majorBidi"/>
          <w:b/>
          <w:bCs/>
          <w:sz w:val="24"/>
          <w:szCs w:val="24"/>
        </w:rPr>
        <w:t>Abstract</w:t>
      </w:r>
    </w:p>
    <w:p w14:paraId="78583CB9" w14:textId="77777777" w:rsidR="00D8096A" w:rsidRPr="001167B9" w:rsidRDefault="00D8096A" w:rsidP="00D61F03">
      <w:pPr>
        <w:widowControl w:val="0"/>
        <w:autoSpaceDE w:val="0"/>
        <w:autoSpaceDN w:val="0"/>
        <w:adjustRightInd w:val="0"/>
        <w:spacing w:after="0" w:line="480" w:lineRule="auto"/>
        <w:jc w:val="both"/>
        <w:rPr>
          <w:rFonts w:asciiTheme="majorBidi" w:hAnsiTheme="majorBidi" w:cstheme="majorBidi"/>
          <w:sz w:val="24"/>
          <w:szCs w:val="24"/>
          <w:lang w:val="en-US"/>
        </w:rPr>
      </w:pPr>
      <w:r w:rsidRPr="001167B9">
        <w:rPr>
          <w:rFonts w:asciiTheme="majorBidi" w:hAnsiTheme="majorBidi" w:cstheme="majorBidi"/>
          <w:b/>
          <w:bCs/>
          <w:sz w:val="24"/>
          <w:szCs w:val="24"/>
          <w:lang w:val="en-US"/>
        </w:rPr>
        <w:t>Background:</w:t>
      </w:r>
      <w:r w:rsidRPr="001167B9">
        <w:rPr>
          <w:rFonts w:asciiTheme="majorBidi" w:hAnsiTheme="majorBidi" w:cstheme="majorBidi"/>
          <w:sz w:val="24"/>
          <w:szCs w:val="24"/>
          <w:lang w:val="en-US"/>
        </w:rPr>
        <w:t xml:space="preserve"> </w:t>
      </w:r>
      <w:r w:rsidRPr="00F150A9">
        <w:rPr>
          <w:rFonts w:asciiTheme="majorBidi" w:hAnsiTheme="majorBidi" w:cstheme="majorBidi"/>
          <w:sz w:val="24"/>
          <w:szCs w:val="24"/>
          <w:lang w:val="en-US"/>
        </w:rPr>
        <w:t>Respiratory distress syndrome (RDS) is a severe problem for premature babies. Non-invasive respiratory support techniques including high-flow nasal cannula (HFNC) and nasal continuous positive airway pressure (nCPAP) are frequently used, altho</w:t>
      </w:r>
      <w:r>
        <w:rPr>
          <w:rFonts w:asciiTheme="majorBidi" w:hAnsiTheme="majorBidi" w:cstheme="majorBidi"/>
          <w:sz w:val="24"/>
          <w:szCs w:val="24"/>
          <w:lang w:val="en-US"/>
        </w:rPr>
        <w:t xml:space="preserve">ugh clinical evidence </w:t>
      </w:r>
      <w:r w:rsidRPr="00E07138">
        <w:rPr>
          <w:rFonts w:asciiTheme="majorBidi" w:hAnsiTheme="majorBidi" w:cstheme="majorBidi"/>
          <w:sz w:val="24"/>
          <w:szCs w:val="24"/>
        </w:rPr>
        <w:t>remain insufficient</w:t>
      </w:r>
      <w:r>
        <w:rPr>
          <w:rFonts w:asciiTheme="majorBidi" w:hAnsiTheme="majorBidi" w:cstheme="majorBidi"/>
          <w:sz w:val="24"/>
          <w:szCs w:val="24"/>
        </w:rPr>
        <w:t>.</w:t>
      </w:r>
    </w:p>
    <w:p w14:paraId="6C1E8FE6" w14:textId="77777777" w:rsidR="00D8096A" w:rsidRPr="001167B9" w:rsidRDefault="00D8096A" w:rsidP="00076F7C">
      <w:pPr>
        <w:widowControl w:val="0"/>
        <w:autoSpaceDE w:val="0"/>
        <w:autoSpaceDN w:val="0"/>
        <w:adjustRightInd w:val="0"/>
        <w:spacing w:after="0" w:line="480" w:lineRule="auto"/>
        <w:jc w:val="both"/>
        <w:rPr>
          <w:rFonts w:asciiTheme="majorBidi" w:hAnsiTheme="majorBidi" w:cstheme="majorBidi"/>
          <w:sz w:val="24"/>
          <w:szCs w:val="24"/>
          <w:lang w:val="en-US"/>
        </w:rPr>
      </w:pPr>
      <w:r w:rsidRPr="001167B9">
        <w:rPr>
          <w:rFonts w:asciiTheme="majorBidi" w:hAnsiTheme="majorBidi" w:cstheme="majorBidi"/>
          <w:b/>
          <w:bCs/>
          <w:sz w:val="24"/>
          <w:szCs w:val="24"/>
          <w:lang w:val="en-US"/>
        </w:rPr>
        <w:t>Patients and Methods:</w:t>
      </w:r>
      <w:r w:rsidRPr="001167B9">
        <w:rPr>
          <w:rFonts w:asciiTheme="majorBidi" w:hAnsiTheme="majorBidi" w:cstheme="majorBidi"/>
          <w:sz w:val="24"/>
          <w:szCs w:val="24"/>
          <w:lang w:val="en-US"/>
        </w:rPr>
        <w:t xml:space="preserve"> </w:t>
      </w:r>
      <w:r w:rsidRPr="00E07138">
        <w:rPr>
          <w:rFonts w:asciiTheme="majorBidi" w:hAnsiTheme="majorBidi" w:cstheme="majorBidi"/>
          <w:sz w:val="24"/>
          <w:szCs w:val="24"/>
        </w:rPr>
        <w:t xml:space="preserve">A randomized controlled trial was conducted involving 100 preterm infants (28–36 weeks gestation) diagnosed with </w:t>
      </w:r>
      <w:r>
        <w:rPr>
          <w:rFonts w:asciiTheme="majorBidi" w:hAnsiTheme="majorBidi" w:cstheme="majorBidi"/>
          <w:sz w:val="24"/>
          <w:szCs w:val="24"/>
        </w:rPr>
        <w:t>RDS</w:t>
      </w:r>
      <w:r w:rsidRPr="00E07138">
        <w:rPr>
          <w:rFonts w:asciiTheme="majorBidi" w:hAnsiTheme="majorBidi" w:cstheme="majorBidi"/>
          <w:sz w:val="24"/>
          <w:szCs w:val="24"/>
        </w:rPr>
        <w:t xml:space="preserve">. Patients were randomly assigned to receive either </w:t>
      </w:r>
      <w:r>
        <w:rPr>
          <w:rFonts w:asciiTheme="majorBidi" w:hAnsiTheme="majorBidi" w:cstheme="majorBidi"/>
          <w:sz w:val="24"/>
          <w:szCs w:val="24"/>
        </w:rPr>
        <w:t xml:space="preserve">(HFNC; n=50) or </w:t>
      </w:r>
      <w:r w:rsidRPr="00E07138">
        <w:rPr>
          <w:rFonts w:asciiTheme="majorBidi" w:hAnsiTheme="majorBidi" w:cstheme="majorBidi"/>
          <w:sz w:val="24"/>
          <w:szCs w:val="24"/>
        </w:rPr>
        <w:t>(nCPAP; n=50) as primary respiratory support. Primary outcomes included the duration of respiratory support and supplemental oxygen therapy. Secondary outcomes encompassed feeding tolerance, length of hospital stay, complications, and mortality.</w:t>
      </w:r>
    </w:p>
    <w:p w14:paraId="6B834CC9" w14:textId="77777777" w:rsidR="00D8096A" w:rsidRPr="001167B9" w:rsidRDefault="00D8096A" w:rsidP="001167B9">
      <w:pPr>
        <w:widowControl w:val="0"/>
        <w:autoSpaceDE w:val="0"/>
        <w:autoSpaceDN w:val="0"/>
        <w:adjustRightInd w:val="0"/>
        <w:spacing w:after="0" w:line="480" w:lineRule="auto"/>
        <w:jc w:val="both"/>
        <w:rPr>
          <w:rFonts w:asciiTheme="majorBidi" w:hAnsiTheme="majorBidi" w:cstheme="majorBidi"/>
          <w:sz w:val="24"/>
          <w:szCs w:val="24"/>
          <w:lang w:val="en-US"/>
        </w:rPr>
      </w:pPr>
      <w:r w:rsidRPr="001167B9">
        <w:rPr>
          <w:rFonts w:asciiTheme="majorBidi" w:hAnsiTheme="majorBidi" w:cstheme="majorBidi"/>
          <w:b/>
          <w:bCs/>
          <w:sz w:val="24"/>
          <w:szCs w:val="24"/>
          <w:lang w:val="en-US"/>
        </w:rPr>
        <w:t>Results:</w:t>
      </w:r>
      <w:r w:rsidRPr="001167B9">
        <w:rPr>
          <w:rFonts w:asciiTheme="majorBidi" w:hAnsiTheme="majorBidi" w:cstheme="majorBidi"/>
          <w:sz w:val="24"/>
          <w:szCs w:val="24"/>
          <w:lang w:val="en-US"/>
        </w:rPr>
        <w:t xml:space="preserve"> Baseline characteristics were comparable between groups. HFNC group demonstrated significantly shorter duration of respiratory support (5.42±2.18 vs 6.87±3.12 days, p=0.045), supplemental oxygen therapy (10.54±4.12 vs 12.98±5.20 days, p=0.030), and hospital stay (8.36±3.63 vs 13.22±5.63 days, p&lt;0.001). Earlier feeding initiation (2.1±0.9 vs 3.5±1.1 days, p=0.030) and faster progression to full feeds (9.2±3.4 vs 11.6±3.8 days, p=0.007) were observed with HFNC. Complication rates were consistently lower in the HFNC group, including nasal trauma (6% vs 16%), pneumonia (4% vs 12%), and bronchopulmonary dysplasia (10% vs 20%), though not statistically significant. Mortality rates were similar (12% vs 18%, p=0.401).</w:t>
      </w:r>
    </w:p>
    <w:p w14:paraId="272599F5" w14:textId="77777777" w:rsidR="00D8096A" w:rsidRPr="001167B9" w:rsidRDefault="00D8096A" w:rsidP="001167B9">
      <w:pPr>
        <w:widowControl w:val="0"/>
        <w:autoSpaceDE w:val="0"/>
        <w:autoSpaceDN w:val="0"/>
        <w:adjustRightInd w:val="0"/>
        <w:spacing w:after="0" w:line="480" w:lineRule="auto"/>
        <w:jc w:val="both"/>
        <w:rPr>
          <w:rFonts w:asciiTheme="majorBidi" w:hAnsiTheme="majorBidi" w:cstheme="majorBidi"/>
          <w:sz w:val="24"/>
          <w:szCs w:val="24"/>
          <w:lang w:val="en-US"/>
        </w:rPr>
      </w:pPr>
      <w:r w:rsidRPr="001167B9">
        <w:rPr>
          <w:rFonts w:asciiTheme="majorBidi" w:hAnsiTheme="majorBidi" w:cstheme="majorBidi"/>
          <w:b/>
          <w:bCs/>
          <w:sz w:val="24"/>
          <w:szCs w:val="24"/>
          <w:lang w:val="en-US"/>
        </w:rPr>
        <w:t>Conclusion:</w:t>
      </w:r>
      <w:r w:rsidRPr="001167B9">
        <w:rPr>
          <w:rFonts w:asciiTheme="majorBidi" w:hAnsiTheme="majorBidi" w:cstheme="majorBidi"/>
          <w:sz w:val="24"/>
          <w:szCs w:val="24"/>
          <w:lang w:val="en-US"/>
        </w:rPr>
        <w:t xml:space="preserve"> HFNC demonstrated superior outcomes compared to nCPAP in preterm infants </w:t>
      </w:r>
      <w:r w:rsidRPr="001167B9">
        <w:rPr>
          <w:rFonts w:asciiTheme="majorBidi" w:hAnsiTheme="majorBidi" w:cstheme="majorBidi"/>
          <w:sz w:val="24"/>
          <w:szCs w:val="24"/>
          <w:lang w:val="en-US"/>
        </w:rPr>
        <w:lastRenderedPageBreak/>
        <w:t>with RDS, with significantly shorter respiratory support duration, hospital stay, and improved feeding tolerance while maintaining comparable safety profiles.</w:t>
      </w:r>
    </w:p>
    <w:p w14:paraId="689004DF" w14:textId="77777777" w:rsidR="00D8096A" w:rsidRPr="001167B9" w:rsidRDefault="00D8096A" w:rsidP="001167B9">
      <w:pPr>
        <w:widowControl w:val="0"/>
        <w:autoSpaceDE w:val="0"/>
        <w:autoSpaceDN w:val="0"/>
        <w:adjustRightInd w:val="0"/>
        <w:spacing w:after="0" w:line="480" w:lineRule="auto"/>
        <w:jc w:val="both"/>
        <w:rPr>
          <w:rFonts w:asciiTheme="majorBidi" w:hAnsiTheme="majorBidi" w:cstheme="majorBidi"/>
          <w:sz w:val="24"/>
          <w:szCs w:val="24"/>
          <w:lang w:val="en-US"/>
        </w:rPr>
      </w:pPr>
      <w:r w:rsidRPr="001167B9">
        <w:rPr>
          <w:rFonts w:asciiTheme="majorBidi" w:hAnsiTheme="majorBidi" w:cstheme="majorBidi"/>
          <w:b/>
          <w:bCs/>
          <w:sz w:val="24"/>
          <w:szCs w:val="24"/>
          <w:lang w:val="en-US"/>
        </w:rPr>
        <w:t>Keywords:</w:t>
      </w:r>
      <w:r w:rsidRPr="001167B9">
        <w:rPr>
          <w:rFonts w:asciiTheme="majorBidi" w:hAnsiTheme="majorBidi" w:cstheme="majorBidi"/>
          <w:sz w:val="24"/>
          <w:szCs w:val="24"/>
          <w:lang w:val="en-US"/>
        </w:rPr>
        <w:t xml:space="preserve"> High-flow nasal cannula, nasal continuous positive airway pressure, preterm infants, respiratory distress syndrome, non-invasive ventilation, feeding tolerance</w:t>
      </w:r>
    </w:p>
    <w:p w14:paraId="7817DA0A" w14:textId="77777777" w:rsidR="00D8096A" w:rsidRPr="00280DEB" w:rsidRDefault="00D8096A" w:rsidP="001167B9">
      <w:pPr>
        <w:widowControl w:val="0"/>
        <w:tabs>
          <w:tab w:val="left" w:pos="6480"/>
        </w:tabs>
        <w:autoSpaceDE w:val="0"/>
        <w:autoSpaceDN w:val="0"/>
        <w:adjustRightInd w:val="0"/>
        <w:spacing w:after="0" w:line="480" w:lineRule="auto"/>
        <w:jc w:val="both"/>
        <w:rPr>
          <w:rFonts w:asciiTheme="majorBidi" w:hAnsiTheme="majorBidi" w:cstheme="majorBidi"/>
          <w:caps/>
          <w:sz w:val="24"/>
          <w:szCs w:val="24"/>
        </w:rPr>
      </w:pPr>
    </w:p>
    <w:p w14:paraId="4614BB93" w14:textId="77777777" w:rsidR="00D8096A" w:rsidRPr="00280DEB" w:rsidRDefault="00D8096A" w:rsidP="002E2A1E">
      <w:pPr>
        <w:widowControl w:val="0"/>
        <w:tabs>
          <w:tab w:val="left" w:pos="6480"/>
        </w:tabs>
        <w:autoSpaceDE w:val="0"/>
        <w:autoSpaceDN w:val="0"/>
        <w:adjustRightInd w:val="0"/>
        <w:spacing w:after="0" w:line="480" w:lineRule="auto"/>
        <w:rPr>
          <w:rFonts w:asciiTheme="majorBidi" w:hAnsiTheme="majorBidi" w:cstheme="majorBidi"/>
          <w:b/>
          <w:bCs/>
          <w:caps/>
          <w:sz w:val="24"/>
          <w:szCs w:val="24"/>
        </w:rPr>
      </w:pPr>
    </w:p>
    <w:p w14:paraId="246CDFAE" w14:textId="77777777" w:rsidR="00D8096A" w:rsidRPr="00280DEB" w:rsidRDefault="00D8096A" w:rsidP="002E2A1E">
      <w:pPr>
        <w:widowControl w:val="0"/>
        <w:tabs>
          <w:tab w:val="left" w:pos="6480"/>
        </w:tabs>
        <w:autoSpaceDE w:val="0"/>
        <w:autoSpaceDN w:val="0"/>
        <w:adjustRightInd w:val="0"/>
        <w:spacing w:after="0" w:line="480" w:lineRule="auto"/>
        <w:rPr>
          <w:rFonts w:asciiTheme="majorBidi" w:hAnsiTheme="majorBidi" w:cstheme="majorBidi"/>
          <w:b/>
          <w:bCs/>
          <w:caps/>
          <w:sz w:val="24"/>
          <w:szCs w:val="24"/>
        </w:rPr>
        <w:sectPr w:rsidR="00D8096A" w:rsidRPr="00280DEB" w:rsidSect="005A3764">
          <w:footerReference w:type="even" r:id="rId8"/>
          <w:footerReference w:type="default" r:id="rId9"/>
          <w:pgSz w:w="12240" w:h="15840"/>
          <w:pgMar w:top="1440" w:right="1440" w:bottom="1440" w:left="1440" w:header="720" w:footer="720" w:gutter="0"/>
          <w:cols w:space="720"/>
          <w:docGrid w:linePitch="360"/>
        </w:sectPr>
      </w:pPr>
    </w:p>
    <w:p w14:paraId="7FCDD18D" w14:textId="77777777" w:rsidR="00D8096A" w:rsidRPr="00280DEB" w:rsidRDefault="00D8096A" w:rsidP="002E2A1E">
      <w:pPr>
        <w:widowControl w:val="0"/>
        <w:tabs>
          <w:tab w:val="left" w:pos="6480"/>
        </w:tabs>
        <w:autoSpaceDE w:val="0"/>
        <w:autoSpaceDN w:val="0"/>
        <w:adjustRightInd w:val="0"/>
        <w:spacing w:after="0" w:line="480" w:lineRule="auto"/>
        <w:rPr>
          <w:rFonts w:asciiTheme="majorBidi" w:hAnsiTheme="majorBidi" w:cstheme="majorBidi"/>
          <w:sz w:val="24"/>
          <w:szCs w:val="24"/>
        </w:rPr>
      </w:pPr>
      <w:r w:rsidRPr="00280DEB">
        <w:rPr>
          <w:rFonts w:asciiTheme="majorBidi" w:hAnsiTheme="majorBidi" w:cstheme="majorBidi"/>
          <w:b/>
          <w:bCs/>
          <w:sz w:val="24"/>
          <w:szCs w:val="24"/>
        </w:rPr>
        <w:lastRenderedPageBreak/>
        <w:t>Introduction</w:t>
      </w:r>
    </w:p>
    <w:p w14:paraId="15ED0908" w14:textId="77777777" w:rsidR="00D8096A" w:rsidRPr="00235939" w:rsidRDefault="00D8096A" w:rsidP="008F39D1">
      <w:pPr>
        <w:widowControl w:val="0"/>
        <w:autoSpaceDE w:val="0"/>
        <w:autoSpaceDN w:val="0"/>
        <w:adjustRightInd w:val="0"/>
        <w:spacing w:after="0" w:line="480" w:lineRule="auto"/>
        <w:jc w:val="both"/>
        <w:rPr>
          <w:rFonts w:asciiTheme="majorBidi" w:eastAsia="Calibri" w:hAnsiTheme="majorBidi" w:cstheme="majorBidi"/>
          <w:bCs/>
          <w:sz w:val="24"/>
          <w:szCs w:val="24"/>
          <w:lang w:val="en-US"/>
        </w:rPr>
      </w:pPr>
      <w:r w:rsidRPr="00235939">
        <w:rPr>
          <w:rFonts w:asciiTheme="majorBidi" w:eastAsia="Calibri" w:hAnsiTheme="majorBidi" w:cstheme="majorBidi"/>
          <w:bCs/>
          <w:sz w:val="24"/>
          <w:szCs w:val="24"/>
          <w:lang w:val="en-US"/>
        </w:rPr>
        <w:t xml:space="preserve">RDS is one of the leading causes of morbidity and mortality in preterm infants due to surfactant deficiency and undeveloped lungs. Effective respiratory support is critical in its management, especially among neonates born before 37 weeks of gestation </w:t>
      </w:r>
      <w:r w:rsidRPr="00235939">
        <w:rPr>
          <w:rFonts w:asciiTheme="majorBidi" w:eastAsia="Calibri" w:hAnsiTheme="majorBidi" w:cstheme="majorBidi"/>
          <w:bCs/>
          <w:noProof/>
          <w:sz w:val="24"/>
          <w:szCs w:val="24"/>
          <w:lang w:val="en-US"/>
        </w:rPr>
        <w:t>(1)</w:t>
      </w:r>
      <w:r w:rsidRPr="00235939">
        <w:rPr>
          <w:rFonts w:asciiTheme="majorBidi" w:eastAsia="Calibri" w:hAnsiTheme="majorBidi" w:cstheme="majorBidi"/>
          <w:bCs/>
          <w:sz w:val="24"/>
          <w:szCs w:val="24"/>
          <w:lang w:val="en-US"/>
        </w:rPr>
        <w:t xml:space="preserve">. Traditionally, nCPAP has been widely used as a primary mode of non-invasive ventilation (NIV) for these infants, showing benefits in maintaining functional residual capacity and reducing the need for mechanical ventilation </w:t>
      </w:r>
      <w:r w:rsidRPr="00235939">
        <w:rPr>
          <w:rFonts w:ascii="Times New Roman" w:eastAsia="Calibri" w:hAnsi="Times New Roman" w:cs="Times New Roman"/>
          <w:bCs/>
          <w:noProof/>
          <w:sz w:val="24"/>
          <w:szCs w:val="24"/>
          <w:lang w:val="en-US"/>
        </w:rPr>
        <w:t>(2)</w:t>
      </w:r>
      <w:r w:rsidRPr="00235939">
        <w:rPr>
          <w:rFonts w:asciiTheme="majorBidi" w:eastAsia="Calibri" w:hAnsiTheme="majorBidi" w:cstheme="majorBidi"/>
          <w:bCs/>
          <w:sz w:val="24"/>
          <w:szCs w:val="24"/>
          <w:lang w:val="en-US"/>
        </w:rPr>
        <w:t>.</w:t>
      </w:r>
    </w:p>
    <w:p w14:paraId="418046A8" w14:textId="77777777" w:rsidR="00D8096A" w:rsidRPr="00235939" w:rsidRDefault="00D8096A" w:rsidP="009B69AA">
      <w:pPr>
        <w:widowControl w:val="0"/>
        <w:autoSpaceDE w:val="0"/>
        <w:autoSpaceDN w:val="0"/>
        <w:adjustRightInd w:val="0"/>
        <w:spacing w:after="0" w:line="480" w:lineRule="auto"/>
        <w:jc w:val="both"/>
        <w:rPr>
          <w:rFonts w:asciiTheme="majorBidi" w:eastAsia="Calibri" w:hAnsiTheme="majorBidi" w:cstheme="majorBidi"/>
          <w:bCs/>
          <w:sz w:val="24"/>
          <w:szCs w:val="24"/>
          <w:lang w:val="en-US"/>
        </w:rPr>
      </w:pPr>
      <w:r w:rsidRPr="00235939">
        <w:rPr>
          <w:rFonts w:asciiTheme="majorBidi" w:eastAsia="Calibri" w:hAnsiTheme="majorBidi" w:cstheme="majorBidi"/>
          <w:bCs/>
          <w:sz w:val="24"/>
          <w:szCs w:val="24"/>
          <w:lang w:val="en-US"/>
        </w:rPr>
        <w:t xml:space="preserve">Recently, HFNC has emerged as an alternative mode of respiratory support. HFNC delivers heated, humidified oxygen at high flow rates and is considered to be less invasive and more comfortable for neonates, with easier application and potentially lower risk of nasal trauma </w:t>
      </w:r>
      <w:r w:rsidRPr="00235939">
        <w:rPr>
          <w:rFonts w:ascii="Times New Roman" w:eastAsia="Calibri" w:hAnsi="Times New Roman" w:cs="Times New Roman"/>
          <w:bCs/>
          <w:noProof/>
          <w:sz w:val="24"/>
          <w:szCs w:val="24"/>
          <w:lang w:val="en-US"/>
        </w:rPr>
        <w:t>(3)</w:t>
      </w:r>
      <w:r w:rsidRPr="00235939">
        <w:rPr>
          <w:rFonts w:asciiTheme="majorBidi" w:eastAsia="Calibri" w:hAnsiTheme="majorBidi" w:cstheme="majorBidi"/>
          <w:bCs/>
          <w:sz w:val="24"/>
          <w:szCs w:val="24"/>
          <w:lang w:val="en-US"/>
        </w:rPr>
        <w:t xml:space="preserve">. Several studies have examined its effectiveness compared to nCPAP, but clinical evidence regarding outcomes such as duration of respiratory support, oxygen dependence, feeding tolerance, complications, and mortality remains mixed and context-dependent </w:t>
      </w:r>
      <w:r w:rsidRPr="00235939">
        <w:rPr>
          <w:rFonts w:asciiTheme="majorBidi" w:eastAsia="Calibri" w:hAnsiTheme="majorBidi" w:cstheme="majorBidi"/>
          <w:bCs/>
          <w:noProof/>
          <w:sz w:val="24"/>
          <w:szCs w:val="24"/>
          <w:lang w:val="en-US"/>
        </w:rPr>
        <w:t>(4-6)</w:t>
      </w:r>
      <w:r w:rsidRPr="00235939">
        <w:rPr>
          <w:rFonts w:asciiTheme="majorBidi" w:eastAsia="Calibri" w:hAnsiTheme="majorBidi" w:cstheme="majorBidi"/>
          <w:bCs/>
          <w:sz w:val="24"/>
          <w:szCs w:val="24"/>
          <w:lang w:val="en-US"/>
        </w:rPr>
        <w:t>.</w:t>
      </w:r>
    </w:p>
    <w:p w14:paraId="71237132" w14:textId="77777777" w:rsidR="00D8096A" w:rsidRPr="00235939" w:rsidRDefault="00D8096A" w:rsidP="00DA1EEC">
      <w:pPr>
        <w:widowControl w:val="0"/>
        <w:autoSpaceDE w:val="0"/>
        <w:autoSpaceDN w:val="0"/>
        <w:adjustRightInd w:val="0"/>
        <w:spacing w:after="0" w:line="480" w:lineRule="auto"/>
        <w:jc w:val="both"/>
        <w:rPr>
          <w:rFonts w:asciiTheme="majorBidi" w:eastAsia="Calibri" w:hAnsiTheme="majorBidi" w:cstheme="majorBidi"/>
          <w:bCs/>
          <w:sz w:val="24"/>
          <w:szCs w:val="24"/>
          <w:lang w:val="en-US"/>
        </w:rPr>
      </w:pPr>
      <w:r w:rsidRPr="00235939">
        <w:rPr>
          <w:rFonts w:asciiTheme="majorBidi" w:eastAsia="Calibri" w:hAnsiTheme="majorBidi" w:cstheme="majorBidi"/>
          <w:bCs/>
          <w:sz w:val="24"/>
          <w:szCs w:val="24"/>
          <w:lang w:val="en-US"/>
        </w:rPr>
        <w:t>This study aimed to compare the clinical outcomes of HFNC versus nCPAP in the management of preterm infants with RDS, focusing on respiratory efficiency, feeding progression, complication rates, and final outcomes. By evaluating these parameters, we seek to provide evidence to support optimal, individualized respiratory care in neonatal intensive care units.</w:t>
      </w:r>
    </w:p>
    <w:p w14:paraId="77BA8704" w14:textId="77777777" w:rsidR="00D8096A" w:rsidRDefault="00D8096A" w:rsidP="002E2A1E">
      <w:pPr>
        <w:widowControl w:val="0"/>
        <w:autoSpaceDE w:val="0"/>
        <w:autoSpaceDN w:val="0"/>
        <w:adjustRightInd w:val="0"/>
        <w:spacing w:after="0" w:line="480" w:lineRule="auto"/>
        <w:rPr>
          <w:rFonts w:asciiTheme="majorBidi" w:hAnsiTheme="majorBidi" w:cstheme="majorBidi"/>
          <w:b/>
          <w:bCs/>
          <w:sz w:val="24"/>
          <w:szCs w:val="24"/>
        </w:rPr>
      </w:pPr>
      <w:r w:rsidRPr="00280DEB">
        <w:rPr>
          <w:rFonts w:asciiTheme="majorBidi" w:hAnsiTheme="majorBidi" w:cstheme="majorBidi"/>
          <w:b/>
          <w:bCs/>
          <w:sz w:val="24"/>
          <w:szCs w:val="24"/>
        </w:rPr>
        <w:t>Materials and Methods</w:t>
      </w:r>
    </w:p>
    <w:p w14:paraId="49DAAE65" w14:textId="77777777" w:rsidR="00D8096A" w:rsidRPr="00C64651" w:rsidRDefault="00D8096A" w:rsidP="00C64651">
      <w:pPr>
        <w:widowControl w:val="0"/>
        <w:autoSpaceDE w:val="0"/>
        <w:autoSpaceDN w:val="0"/>
        <w:adjustRightInd w:val="0"/>
        <w:spacing w:after="0" w:line="480" w:lineRule="auto"/>
        <w:rPr>
          <w:rFonts w:asciiTheme="majorBidi" w:hAnsiTheme="majorBidi" w:cstheme="majorBidi"/>
          <w:b/>
          <w:bCs/>
          <w:sz w:val="24"/>
          <w:szCs w:val="24"/>
          <w:lang w:val="en-US"/>
        </w:rPr>
      </w:pPr>
      <w:r w:rsidRPr="00C64651">
        <w:rPr>
          <w:rFonts w:asciiTheme="majorBidi" w:hAnsiTheme="majorBidi" w:cstheme="majorBidi"/>
          <w:b/>
          <w:bCs/>
          <w:sz w:val="24"/>
          <w:szCs w:val="24"/>
          <w:lang w:val="en-US"/>
        </w:rPr>
        <w:t>Study Design and Setting</w:t>
      </w:r>
    </w:p>
    <w:p w14:paraId="656141F7" w14:textId="77777777" w:rsidR="00D8096A" w:rsidRDefault="00D8096A" w:rsidP="00F636EA">
      <w:pPr>
        <w:widowControl w:val="0"/>
        <w:autoSpaceDE w:val="0"/>
        <w:autoSpaceDN w:val="0"/>
        <w:adjustRightInd w:val="0"/>
        <w:spacing w:after="0" w:line="480" w:lineRule="auto"/>
        <w:jc w:val="both"/>
        <w:rPr>
          <w:rFonts w:asciiTheme="majorBidi" w:hAnsiTheme="majorBidi" w:cstheme="majorBidi"/>
          <w:sz w:val="24"/>
          <w:szCs w:val="24"/>
          <w:lang w:val="en-US"/>
        </w:rPr>
      </w:pPr>
      <w:r w:rsidRPr="00180A3B">
        <w:rPr>
          <w:rFonts w:asciiTheme="majorBidi" w:hAnsiTheme="majorBidi" w:cstheme="majorBidi"/>
          <w:sz w:val="24"/>
          <w:szCs w:val="24"/>
          <w:lang w:val="en-US"/>
        </w:rPr>
        <w:t>This prospective cross-sectional study compared the clinical outcomes of preterm RDS infants treated with HFNC or nCPAP. The Neonatal Intensive Care Unit (NICU) at Assiut University Children Hospital, a tertiary care hospital for high-risk neonates, particularly preterm infants, hosted the study from June 2022 to June 2023.</w:t>
      </w:r>
    </w:p>
    <w:p w14:paraId="44E6D7CB" w14:textId="77777777" w:rsidR="00F9202F" w:rsidRPr="00180A3B" w:rsidRDefault="00F9202F" w:rsidP="00F636EA">
      <w:pPr>
        <w:widowControl w:val="0"/>
        <w:autoSpaceDE w:val="0"/>
        <w:autoSpaceDN w:val="0"/>
        <w:adjustRightInd w:val="0"/>
        <w:spacing w:after="0" w:line="480" w:lineRule="auto"/>
        <w:jc w:val="both"/>
        <w:rPr>
          <w:rFonts w:asciiTheme="majorBidi" w:hAnsiTheme="majorBidi" w:cstheme="majorBidi"/>
          <w:sz w:val="24"/>
          <w:szCs w:val="24"/>
          <w:lang w:val="en-US"/>
        </w:rPr>
      </w:pPr>
    </w:p>
    <w:p w14:paraId="5F2C826F" w14:textId="77777777" w:rsidR="00D8096A" w:rsidRPr="000B7C20" w:rsidRDefault="00D8096A" w:rsidP="000B7C20">
      <w:pPr>
        <w:widowControl w:val="0"/>
        <w:autoSpaceDE w:val="0"/>
        <w:autoSpaceDN w:val="0"/>
        <w:adjustRightInd w:val="0"/>
        <w:spacing w:after="0" w:line="480" w:lineRule="auto"/>
        <w:rPr>
          <w:rFonts w:asciiTheme="majorBidi" w:hAnsiTheme="majorBidi" w:cstheme="majorBidi"/>
          <w:b/>
          <w:bCs/>
          <w:sz w:val="24"/>
          <w:szCs w:val="24"/>
          <w:lang w:val="en-US"/>
        </w:rPr>
      </w:pPr>
      <w:r w:rsidRPr="000B7C20">
        <w:rPr>
          <w:rFonts w:asciiTheme="majorBidi" w:hAnsiTheme="majorBidi" w:cstheme="majorBidi"/>
          <w:b/>
          <w:bCs/>
          <w:sz w:val="24"/>
          <w:szCs w:val="24"/>
          <w:lang w:val="en-US"/>
        </w:rPr>
        <w:t>Study Population</w:t>
      </w:r>
    </w:p>
    <w:p w14:paraId="4994D722" w14:textId="3538E13B" w:rsidR="00D8096A" w:rsidRPr="00F636EA" w:rsidRDefault="00D8096A" w:rsidP="00F636EA">
      <w:pPr>
        <w:widowControl w:val="0"/>
        <w:autoSpaceDE w:val="0"/>
        <w:autoSpaceDN w:val="0"/>
        <w:adjustRightInd w:val="0"/>
        <w:spacing w:after="0" w:line="480" w:lineRule="auto"/>
        <w:jc w:val="both"/>
        <w:rPr>
          <w:rFonts w:asciiTheme="majorBidi" w:hAnsiTheme="majorBidi" w:cstheme="majorBidi"/>
          <w:sz w:val="24"/>
          <w:szCs w:val="24"/>
          <w:lang w:val="en-US"/>
        </w:rPr>
      </w:pPr>
      <w:r w:rsidRPr="00F636EA">
        <w:rPr>
          <w:rFonts w:asciiTheme="majorBidi" w:hAnsiTheme="majorBidi" w:cstheme="majorBidi"/>
          <w:sz w:val="24"/>
          <w:szCs w:val="24"/>
          <w:lang w:val="en-US"/>
        </w:rPr>
        <w:t xml:space="preserve">We </w:t>
      </w:r>
      <w:r w:rsidR="00D157D0" w:rsidRPr="00F636EA">
        <w:rPr>
          <w:rFonts w:asciiTheme="majorBidi" w:hAnsiTheme="majorBidi" w:cstheme="majorBidi"/>
          <w:sz w:val="24"/>
          <w:szCs w:val="24"/>
          <w:lang w:val="en-US"/>
        </w:rPr>
        <w:t>randomized</w:t>
      </w:r>
      <w:r w:rsidRPr="00F636EA">
        <w:rPr>
          <w:rFonts w:asciiTheme="majorBidi" w:hAnsiTheme="majorBidi" w:cstheme="majorBidi"/>
          <w:sz w:val="24"/>
          <w:szCs w:val="24"/>
          <w:lang w:val="en-US"/>
        </w:rPr>
        <w:t xml:space="preserve"> 100 preterm infants who met the inclusion criteria into two equal groups (n=50 each). The sample size was estimated using a power calculation with α = 0.05, power = 80%, 5% predicted attrition, and a medium effect size (Cohen's d = 0.37). Participants were not lost to follow-up. Figure (1) shows the study's participant flow.</w:t>
      </w:r>
    </w:p>
    <w:p w14:paraId="6E0E0206" w14:textId="77777777" w:rsidR="00D8096A" w:rsidRPr="000B7C20" w:rsidRDefault="00D8096A" w:rsidP="000B7C20">
      <w:pPr>
        <w:widowControl w:val="0"/>
        <w:autoSpaceDE w:val="0"/>
        <w:autoSpaceDN w:val="0"/>
        <w:adjustRightInd w:val="0"/>
        <w:spacing w:after="0" w:line="480" w:lineRule="auto"/>
        <w:jc w:val="both"/>
        <w:rPr>
          <w:rFonts w:asciiTheme="majorBidi" w:hAnsiTheme="majorBidi" w:cstheme="majorBidi"/>
          <w:sz w:val="24"/>
          <w:szCs w:val="24"/>
          <w:lang w:val="en-US"/>
        </w:rPr>
      </w:pPr>
    </w:p>
    <w:p w14:paraId="2A7095BE" w14:textId="77777777" w:rsidR="00D8096A" w:rsidRPr="009A2AFB" w:rsidRDefault="00D8096A" w:rsidP="009A2AFB">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r w:rsidRPr="009A2AFB">
        <w:rPr>
          <w:rFonts w:ascii="Times New Roman" w:eastAsia="Times New Roman" w:hAnsi="Times New Roman" w:cs="Times New Roman"/>
          <w:b/>
          <w:bCs/>
          <w:noProof/>
          <w:sz w:val="28"/>
          <w:szCs w:val="28"/>
          <w:lang w:val="en-US"/>
        </w:rPr>
        <w:drawing>
          <wp:inline distT="0" distB="0" distL="0" distR="0" wp14:anchorId="694FA5DF" wp14:editId="2F9B3C72">
            <wp:extent cx="5486400" cy="48196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diagram.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4819650"/>
                    </a:xfrm>
                    <a:prstGeom prst="rect">
                      <a:avLst/>
                    </a:prstGeom>
                  </pic:spPr>
                </pic:pic>
              </a:graphicData>
            </a:graphic>
          </wp:inline>
        </w:drawing>
      </w:r>
    </w:p>
    <w:p w14:paraId="3C2D73B7" w14:textId="77777777" w:rsidR="00D8096A" w:rsidRPr="009A2AFB" w:rsidRDefault="00D8096A" w:rsidP="009A2AFB">
      <w:pPr>
        <w:widowControl w:val="0"/>
        <w:autoSpaceDE w:val="0"/>
        <w:autoSpaceDN w:val="0"/>
        <w:adjustRightInd w:val="0"/>
        <w:spacing w:after="0" w:line="240" w:lineRule="auto"/>
        <w:rPr>
          <w:rFonts w:ascii="Times New Roman" w:eastAsia="Times New Roman" w:hAnsi="Times New Roman" w:cs="Times New Roman"/>
          <w:b/>
          <w:bCs/>
          <w:sz w:val="28"/>
          <w:szCs w:val="28"/>
          <w:lang w:val="en-US"/>
        </w:rPr>
      </w:pPr>
    </w:p>
    <w:p w14:paraId="36BCF737" w14:textId="77777777" w:rsidR="00D8096A" w:rsidRDefault="00D8096A" w:rsidP="00AD5DE5">
      <w:pPr>
        <w:widowControl w:val="0"/>
        <w:autoSpaceDE w:val="0"/>
        <w:autoSpaceDN w:val="0"/>
        <w:adjustRightInd w:val="0"/>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Figure 1</w:t>
      </w:r>
      <w:r w:rsidRPr="009A2AFB">
        <w:rPr>
          <w:rFonts w:ascii="Times New Roman" w:eastAsia="Times New Roman" w:hAnsi="Times New Roman" w:cs="Times New Roman"/>
          <w:b/>
          <w:bCs/>
          <w:sz w:val="24"/>
          <w:szCs w:val="24"/>
          <w:lang w:val="en-US"/>
        </w:rPr>
        <w:t xml:space="preserve">. </w:t>
      </w:r>
      <w:r w:rsidRPr="00AD5DE5">
        <w:rPr>
          <w:rFonts w:ascii="Times New Roman" w:eastAsia="Times New Roman" w:hAnsi="Times New Roman" w:cs="Times New Roman"/>
          <w:sz w:val="24"/>
          <w:szCs w:val="24"/>
          <w:lang w:val="en-US"/>
        </w:rPr>
        <w:t>CONSORT flow diagram</w:t>
      </w:r>
    </w:p>
    <w:p w14:paraId="545574B3" w14:textId="77777777" w:rsidR="00F9202F" w:rsidRDefault="00F9202F" w:rsidP="00AD5DE5">
      <w:pPr>
        <w:widowControl w:val="0"/>
        <w:autoSpaceDE w:val="0"/>
        <w:autoSpaceDN w:val="0"/>
        <w:adjustRightInd w:val="0"/>
        <w:spacing w:after="0" w:line="360" w:lineRule="auto"/>
        <w:jc w:val="both"/>
        <w:rPr>
          <w:rFonts w:ascii="Times New Roman" w:eastAsia="Times New Roman" w:hAnsi="Times New Roman" w:cs="Times New Roman"/>
          <w:sz w:val="24"/>
          <w:szCs w:val="24"/>
          <w:lang w:val="en-US"/>
        </w:rPr>
      </w:pPr>
    </w:p>
    <w:p w14:paraId="364EA126" w14:textId="77777777" w:rsidR="00F9202F" w:rsidRPr="009A2AFB" w:rsidRDefault="00F9202F" w:rsidP="00AD5DE5">
      <w:pPr>
        <w:widowControl w:val="0"/>
        <w:autoSpaceDE w:val="0"/>
        <w:autoSpaceDN w:val="0"/>
        <w:adjustRightInd w:val="0"/>
        <w:spacing w:after="0" w:line="360" w:lineRule="auto"/>
        <w:jc w:val="both"/>
        <w:rPr>
          <w:rFonts w:ascii="Times New Roman" w:eastAsia="Times New Roman" w:hAnsi="Times New Roman" w:cs="Times New Roman"/>
          <w:b/>
          <w:bCs/>
          <w:sz w:val="24"/>
          <w:szCs w:val="24"/>
          <w:lang w:val="en-US"/>
        </w:rPr>
      </w:pPr>
    </w:p>
    <w:p w14:paraId="0A64DA9E" w14:textId="77777777" w:rsidR="00D8096A" w:rsidRPr="009A2AFB" w:rsidRDefault="00D8096A" w:rsidP="002E2A1E">
      <w:pPr>
        <w:widowControl w:val="0"/>
        <w:autoSpaceDE w:val="0"/>
        <w:autoSpaceDN w:val="0"/>
        <w:adjustRightInd w:val="0"/>
        <w:spacing w:after="0" w:line="480" w:lineRule="auto"/>
        <w:rPr>
          <w:rFonts w:asciiTheme="majorBidi" w:hAnsiTheme="majorBidi" w:cstheme="majorBidi"/>
          <w:sz w:val="24"/>
          <w:szCs w:val="24"/>
          <w:lang w:val="en-US"/>
        </w:rPr>
      </w:pPr>
    </w:p>
    <w:p w14:paraId="5A238682" w14:textId="77777777" w:rsidR="00D8096A" w:rsidRPr="00A601BD" w:rsidRDefault="00D8096A" w:rsidP="00A601BD">
      <w:pPr>
        <w:widowControl w:val="0"/>
        <w:autoSpaceDE w:val="0"/>
        <w:autoSpaceDN w:val="0"/>
        <w:adjustRightInd w:val="0"/>
        <w:spacing w:after="0" w:line="480" w:lineRule="auto"/>
        <w:jc w:val="both"/>
        <w:rPr>
          <w:rFonts w:asciiTheme="majorBidi" w:hAnsiTheme="majorBidi" w:cstheme="majorBidi"/>
          <w:b/>
          <w:bCs/>
          <w:sz w:val="24"/>
          <w:szCs w:val="24"/>
          <w:lang w:val="en-US"/>
        </w:rPr>
      </w:pPr>
      <w:r w:rsidRPr="00A601BD">
        <w:rPr>
          <w:rFonts w:asciiTheme="majorBidi" w:hAnsiTheme="majorBidi" w:cstheme="majorBidi"/>
          <w:b/>
          <w:bCs/>
          <w:sz w:val="24"/>
          <w:szCs w:val="24"/>
          <w:lang w:val="en-US"/>
        </w:rPr>
        <w:t>Inclusion Criteria</w:t>
      </w:r>
    </w:p>
    <w:p w14:paraId="1FEC2263" w14:textId="77777777" w:rsidR="00D8096A" w:rsidRPr="00A601BD" w:rsidRDefault="00D8096A" w:rsidP="00A601BD">
      <w:pPr>
        <w:widowControl w:val="0"/>
        <w:numPr>
          <w:ilvl w:val="0"/>
          <w:numId w:val="30"/>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Preterm infants with gestational age ≥30 weeks</w:t>
      </w:r>
    </w:p>
    <w:p w14:paraId="40EFFECA" w14:textId="77777777" w:rsidR="00D8096A" w:rsidRPr="00A601BD" w:rsidRDefault="00D8096A" w:rsidP="00A601BD">
      <w:pPr>
        <w:widowControl w:val="0"/>
        <w:numPr>
          <w:ilvl w:val="0"/>
          <w:numId w:val="30"/>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Birth weight &gt;1000 grams</w:t>
      </w:r>
    </w:p>
    <w:p w14:paraId="520E6885" w14:textId="77777777" w:rsidR="00D8096A" w:rsidRPr="00A601BD" w:rsidRDefault="00D8096A" w:rsidP="00A601BD">
      <w:pPr>
        <w:widowControl w:val="0"/>
        <w:numPr>
          <w:ilvl w:val="0"/>
          <w:numId w:val="30"/>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Clinical diagnosis of RDS, based on:</w:t>
      </w:r>
    </w:p>
    <w:p w14:paraId="0DCC87B1" w14:textId="77777777" w:rsidR="00D8096A" w:rsidRPr="00A601BD" w:rsidRDefault="00D8096A" w:rsidP="00A601BD">
      <w:pPr>
        <w:widowControl w:val="0"/>
        <w:numPr>
          <w:ilvl w:val="1"/>
          <w:numId w:val="30"/>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Signs of respiratory distress (retractions, grunting, nasal flaring)</w:t>
      </w:r>
    </w:p>
    <w:p w14:paraId="7A7E4ED0" w14:textId="77777777" w:rsidR="00D8096A" w:rsidRPr="00A601BD" w:rsidRDefault="00D8096A" w:rsidP="00A601BD">
      <w:pPr>
        <w:widowControl w:val="0"/>
        <w:numPr>
          <w:ilvl w:val="1"/>
          <w:numId w:val="30"/>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Hypoxia requiring supplemental oxygen (SpO₂ monitoring)</w:t>
      </w:r>
    </w:p>
    <w:p w14:paraId="5AA286A2" w14:textId="77777777" w:rsidR="00D8096A" w:rsidRPr="00A601BD" w:rsidRDefault="00D8096A" w:rsidP="00A601BD">
      <w:pPr>
        <w:widowControl w:val="0"/>
        <w:numPr>
          <w:ilvl w:val="1"/>
          <w:numId w:val="30"/>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Radiographic evidence (diffuse haziness, air bronchograms)</w:t>
      </w:r>
    </w:p>
    <w:p w14:paraId="2813E578" w14:textId="77777777" w:rsidR="00D8096A" w:rsidRPr="00A601BD" w:rsidRDefault="00D8096A" w:rsidP="00A601BD">
      <w:pPr>
        <w:widowControl w:val="0"/>
        <w:numPr>
          <w:ilvl w:val="1"/>
          <w:numId w:val="30"/>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Abnormal blood gases (acidosis, hypoxemia, hypercapnia) [(Jobe, 2014)]</w:t>
      </w:r>
    </w:p>
    <w:p w14:paraId="1E5706A9" w14:textId="77777777" w:rsidR="00D8096A" w:rsidRPr="00A601BD" w:rsidRDefault="00D8096A" w:rsidP="00A601BD">
      <w:pPr>
        <w:widowControl w:val="0"/>
        <w:autoSpaceDE w:val="0"/>
        <w:autoSpaceDN w:val="0"/>
        <w:adjustRightInd w:val="0"/>
        <w:spacing w:after="0" w:line="480" w:lineRule="auto"/>
        <w:jc w:val="both"/>
        <w:rPr>
          <w:rFonts w:asciiTheme="majorBidi" w:hAnsiTheme="majorBidi" w:cstheme="majorBidi"/>
          <w:b/>
          <w:bCs/>
          <w:sz w:val="24"/>
          <w:szCs w:val="24"/>
          <w:lang w:val="en-US"/>
        </w:rPr>
      </w:pPr>
      <w:r w:rsidRPr="00A601BD">
        <w:rPr>
          <w:rFonts w:asciiTheme="majorBidi" w:hAnsiTheme="majorBidi" w:cstheme="majorBidi"/>
          <w:b/>
          <w:bCs/>
          <w:sz w:val="24"/>
          <w:szCs w:val="24"/>
          <w:lang w:val="en-US"/>
        </w:rPr>
        <w:t>Exclusion Criteria</w:t>
      </w:r>
    </w:p>
    <w:p w14:paraId="0BA7419D" w14:textId="77777777" w:rsidR="00D8096A" w:rsidRPr="00A601BD" w:rsidRDefault="00D8096A" w:rsidP="00A601BD">
      <w:pPr>
        <w:widowControl w:val="0"/>
        <w:numPr>
          <w:ilvl w:val="0"/>
          <w:numId w:val="31"/>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Term infants (&gt;37 weeks)</w:t>
      </w:r>
    </w:p>
    <w:p w14:paraId="2A8CCAB3" w14:textId="77777777" w:rsidR="00D8096A" w:rsidRPr="00A601BD" w:rsidRDefault="00D8096A" w:rsidP="00A601BD">
      <w:pPr>
        <w:widowControl w:val="0"/>
        <w:numPr>
          <w:ilvl w:val="0"/>
          <w:numId w:val="31"/>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Gestational age &lt;30 weeks and/or birth weight &lt;1000 grams</w:t>
      </w:r>
    </w:p>
    <w:p w14:paraId="76490460" w14:textId="77777777" w:rsidR="00D8096A" w:rsidRPr="00A601BD" w:rsidRDefault="00D8096A" w:rsidP="00A601BD">
      <w:pPr>
        <w:widowControl w:val="0"/>
        <w:numPr>
          <w:ilvl w:val="0"/>
          <w:numId w:val="31"/>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Respiratory distress due to causes other than RDS</w:t>
      </w:r>
    </w:p>
    <w:p w14:paraId="6A39BE6C" w14:textId="77777777" w:rsidR="00D8096A" w:rsidRPr="00A601BD" w:rsidRDefault="00D8096A" w:rsidP="00A601BD">
      <w:pPr>
        <w:widowControl w:val="0"/>
        <w:numPr>
          <w:ilvl w:val="0"/>
          <w:numId w:val="31"/>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Diagnosed neonatal sepsis or congenital anomalies (including congenital heart defects)</w:t>
      </w:r>
    </w:p>
    <w:p w14:paraId="444B367C" w14:textId="77777777" w:rsidR="00D8096A" w:rsidRPr="00A601BD" w:rsidRDefault="00D8096A" w:rsidP="00A601BD">
      <w:pPr>
        <w:widowControl w:val="0"/>
        <w:numPr>
          <w:ilvl w:val="0"/>
          <w:numId w:val="31"/>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Requirement for immediate invasive mechanical ventilation after birth</w:t>
      </w:r>
    </w:p>
    <w:p w14:paraId="1476198D" w14:textId="77777777" w:rsidR="00D8096A" w:rsidRPr="00A601BD" w:rsidRDefault="00D8096A" w:rsidP="00A601BD">
      <w:pPr>
        <w:widowControl w:val="0"/>
        <w:autoSpaceDE w:val="0"/>
        <w:autoSpaceDN w:val="0"/>
        <w:adjustRightInd w:val="0"/>
        <w:spacing w:after="0" w:line="480" w:lineRule="auto"/>
        <w:jc w:val="both"/>
        <w:rPr>
          <w:rFonts w:asciiTheme="majorBidi" w:hAnsiTheme="majorBidi" w:cstheme="majorBidi"/>
          <w:b/>
          <w:bCs/>
          <w:sz w:val="24"/>
          <w:szCs w:val="24"/>
          <w:lang w:val="en-US"/>
        </w:rPr>
      </w:pPr>
      <w:r w:rsidRPr="00A601BD">
        <w:rPr>
          <w:rFonts w:asciiTheme="majorBidi" w:hAnsiTheme="majorBidi" w:cstheme="majorBidi"/>
          <w:b/>
          <w:bCs/>
          <w:sz w:val="24"/>
          <w:szCs w:val="24"/>
          <w:lang w:val="en-US"/>
        </w:rPr>
        <w:t>Intervention Groups</w:t>
      </w:r>
    </w:p>
    <w:p w14:paraId="11BEFC49" w14:textId="77777777" w:rsidR="00D8096A" w:rsidRPr="00A601BD" w:rsidRDefault="00D8096A" w:rsidP="00A601BD">
      <w:pPr>
        <w:widowControl w:val="0"/>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Participants were allocated into two intervention groups:</w:t>
      </w:r>
    </w:p>
    <w:p w14:paraId="66E129A0" w14:textId="77777777" w:rsidR="00D8096A" w:rsidRPr="00235939" w:rsidRDefault="00D8096A" w:rsidP="008F39D1">
      <w:pPr>
        <w:widowControl w:val="0"/>
        <w:autoSpaceDE w:val="0"/>
        <w:autoSpaceDN w:val="0"/>
        <w:adjustRightInd w:val="0"/>
        <w:spacing w:after="0" w:line="480" w:lineRule="auto"/>
        <w:jc w:val="both"/>
        <w:rPr>
          <w:rFonts w:asciiTheme="majorBidi" w:hAnsiTheme="majorBidi" w:cstheme="majorBidi"/>
          <w:b/>
          <w:bCs/>
          <w:sz w:val="24"/>
          <w:szCs w:val="24"/>
          <w:lang w:val="en-US"/>
        </w:rPr>
      </w:pPr>
      <w:r w:rsidRPr="00235939">
        <w:rPr>
          <w:rFonts w:asciiTheme="majorBidi" w:hAnsiTheme="majorBidi" w:cstheme="majorBidi"/>
          <w:b/>
          <w:bCs/>
          <w:sz w:val="24"/>
          <w:szCs w:val="24"/>
          <w:lang w:val="en-US"/>
        </w:rPr>
        <w:t xml:space="preserve">Group 1: HFNC Group </w:t>
      </w:r>
      <w:r w:rsidRPr="00235939">
        <w:rPr>
          <w:rFonts w:ascii="Times New Roman" w:eastAsia="Calibri" w:hAnsi="Times New Roman" w:cs="Times New Roman"/>
          <w:b/>
          <w:bCs/>
          <w:i/>
          <w:iCs/>
          <w:noProof/>
          <w:sz w:val="28"/>
          <w:szCs w:val="28"/>
          <w:lang w:val="en-US"/>
        </w:rPr>
        <w:t>(3)</w:t>
      </w:r>
      <w:r w:rsidRPr="00235939">
        <w:rPr>
          <w:rFonts w:ascii="Times New Roman" w:eastAsia="Calibri" w:hAnsi="Times New Roman" w:cs="Times New Roman"/>
          <w:b/>
          <w:bCs/>
          <w:i/>
          <w:iCs/>
          <w:sz w:val="28"/>
          <w:szCs w:val="28"/>
          <w:lang w:val="en-US"/>
        </w:rPr>
        <w:t>.</w:t>
      </w:r>
    </w:p>
    <w:p w14:paraId="6706C64D" w14:textId="77777777" w:rsidR="00D8096A" w:rsidRPr="00235939" w:rsidRDefault="00D8096A" w:rsidP="00807868">
      <w:pPr>
        <w:widowControl w:val="0"/>
        <w:autoSpaceDE w:val="0"/>
        <w:autoSpaceDN w:val="0"/>
        <w:adjustRightInd w:val="0"/>
        <w:spacing w:after="0" w:line="480" w:lineRule="auto"/>
        <w:jc w:val="both"/>
        <w:rPr>
          <w:rFonts w:asciiTheme="majorBidi" w:hAnsiTheme="majorBidi" w:cstheme="majorBidi"/>
          <w:sz w:val="24"/>
          <w:szCs w:val="24"/>
          <w:lang w:val="en-US"/>
        </w:rPr>
      </w:pPr>
      <w:r w:rsidRPr="00235939">
        <w:rPr>
          <w:rFonts w:asciiTheme="majorBidi" w:hAnsiTheme="majorBidi" w:cstheme="majorBidi"/>
          <w:sz w:val="24"/>
          <w:szCs w:val="24"/>
          <w:lang w:val="en-US"/>
        </w:rPr>
        <w:t>Infants in this group received warmed and humidified oxygen via high flow nasal cannula. Flow rates ranged from 2 to 8 L/min based on weight and clinical condition. FiO₂ was titrated according to oxygenation status. Cannulas were fitted to ensure comfort and minimal leak, using a heated humidifier for mucosal protection.</w:t>
      </w:r>
    </w:p>
    <w:p w14:paraId="09F25663" w14:textId="77777777" w:rsidR="00D8096A" w:rsidRPr="00235939" w:rsidRDefault="00D8096A" w:rsidP="008F39D1">
      <w:pPr>
        <w:widowControl w:val="0"/>
        <w:autoSpaceDE w:val="0"/>
        <w:autoSpaceDN w:val="0"/>
        <w:adjustRightInd w:val="0"/>
        <w:spacing w:after="0" w:line="480" w:lineRule="auto"/>
        <w:jc w:val="both"/>
        <w:rPr>
          <w:rFonts w:asciiTheme="majorBidi" w:hAnsiTheme="majorBidi" w:cstheme="majorBidi"/>
          <w:b/>
          <w:bCs/>
          <w:sz w:val="24"/>
          <w:szCs w:val="24"/>
          <w:lang w:val="en-US"/>
        </w:rPr>
      </w:pPr>
      <w:r w:rsidRPr="00235939">
        <w:rPr>
          <w:rFonts w:asciiTheme="majorBidi" w:hAnsiTheme="majorBidi" w:cstheme="majorBidi"/>
          <w:b/>
          <w:bCs/>
          <w:sz w:val="24"/>
          <w:szCs w:val="24"/>
          <w:lang w:val="en-US"/>
        </w:rPr>
        <w:t xml:space="preserve">Group 2: nCPAP Group </w:t>
      </w:r>
      <w:r w:rsidRPr="00235939">
        <w:rPr>
          <w:rFonts w:ascii="Times New Roman" w:eastAsia="Calibri" w:hAnsi="Times New Roman" w:cs="Times New Roman"/>
          <w:b/>
          <w:i/>
          <w:iCs/>
          <w:noProof/>
          <w:sz w:val="28"/>
          <w:szCs w:val="28"/>
          <w:lang w:val="en-US"/>
        </w:rPr>
        <w:t>(2)</w:t>
      </w:r>
      <w:r w:rsidRPr="00235939">
        <w:rPr>
          <w:rFonts w:ascii="Times New Roman" w:eastAsia="Calibri" w:hAnsi="Times New Roman" w:cs="Times New Roman"/>
          <w:sz w:val="28"/>
          <w:szCs w:val="28"/>
          <w:lang w:val="en-US"/>
        </w:rPr>
        <w:t>.</w:t>
      </w:r>
    </w:p>
    <w:p w14:paraId="30E8C259" w14:textId="77777777" w:rsidR="00D8096A" w:rsidRPr="00235939" w:rsidRDefault="00D8096A" w:rsidP="00A601BD">
      <w:pPr>
        <w:widowControl w:val="0"/>
        <w:autoSpaceDE w:val="0"/>
        <w:autoSpaceDN w:val="0"/>
        <w:adjustRightInd w:val="0"/>
        <w:spacing w:after="0" w:line="480" w:lineRule="auto"/>
        <w:jc w:val="both"/>
        <w:rPr>
          <w:rFonts w:asciiTheme="majorBidi" w:hAnsiTheme="majorBidi" w:cstheme="majorBidi"/>
          <w:sz w:val="24"/>
          <w:szCs w:val="24"/>
          <w:lang w:val="en-US"/>
        </w:rPr>
      </w:pPr>
      <w:r w:rsidRPr="00235939">
        <w:rPr>
          <w:rFonts w:asciiTheme="majorBidi" w:hAnsiTheme="majorBidi" w:cstheme="majorBidi"/>
          <w:sz w:val="24"/>
          <w:szCs w:val="24"/>
          <w:lang w:val="en-US"/>
        </w:rPr>
        <w:lastRenderedPageBreak/>
        <w:t>Infants received continuous positive airway pressure using nasal prongs or mask. Pressure settings ranged from 4 to 6 cm H₂O, adjusted as needed. FiO₂ was individualized. A heated humidifier was used to maintain airway humidity.</w:t>
      </w:r>
    </w:p>
    <w:p w14:paraId="6C749484" w14:textId="77777777" w:rsidR="00D8096A" w:rsidRPr="00A601BD" w:rsidRDefault="00D8096A" w:rsidP="00A601BD">
      <w:pPr>
        <w:widowControl w:val="0"/>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Groups were matched for sex, gestational age, birth weight, mode of delivery, RDS severity, and surfactant administration to minimize confounding.</w:t>
      </w:r>
    </w:p>
    <w:p w14:paraId="4F727108" w14:textId="77777777" w:rsidR="00D8096A" w:rsidRPr="00A601BD" w:rsidRDefault="00D8096A" w:rsidP="00A601BD">
      <w:pPr>
        <w:widowControl w:val="0"/>
        <w:autoSpaceDE w:val="0"/>
        <w:autoSpaceDN w:val="0"/>
        <w:adjustRightInd w:val="0"/>
        <w:spacing w:after="0" w:line="480" w:lineRule="auto"/>
        <w:jc w:val="both"/>
        <w:rPr>
          <w:rFonts w:asciiTheme="majorBidi" w:hAnsiTheme="majorBidi" w:cstheme="majorBidi"/>
          <w:b/>
          <w:bCs/>
          <w:sz w:val="24"/>
          <w:szCs w:val="24"/>
          <w:lang w:val="en-US"/>
        </w:rPr>
      </w:pPr>
      <w:r w:rsidRPr="00A601BD">
        <w:rPr>
          <w:rFonts w:asciiTheme="majorBidi" w:hAnsiTheme="majorBidi" w:cstheme="majorBidi"/>
          <w:b/>
          <w:bCs/>
          <w:sz w:val="24"/>
          <w:szCs w:val="24"/>
          <w:lang w:val="en-US"/>
        </w:rPr>
        <w:t>Data Collection</w:t>
      </w:r>
    </w:p>
    <w:p w14:paraId="74671B17" w14:textId="77777777" w:rsidR="00D8096A" w:rsidRPr="00A601BD" w:rsidRDefault="00D8096A" w:rsidP="00A601BD">
      <w:pPr>
        <w:widowControl w:val="0"/>
        <w:autoSpaceDE w:val="0"/>
        <w:autoSpaceDN w:val="0"/>
        <w:adjustRightInd w:val="0"/>
        <w:spacing w:after="0" w:line="480" w:lineRule="auto"/>
        <w:jc w:val="both"/>
        <w:rPr>
          <w:rFonts w:asciiTheme="majorBidi" w:hAnsiTheme="majorBidi" w:cstheme="majorBidi"/>
          <w:b/>
          <w:bCs/>
          <w:sz w:val="24"/>
          <w:szCs w:val="24"/>
          <w:lang w:val="en-US"/>
        </w:rPr>
      </w:pPr>
      <w:r w:rsidRPr="00A601BD">
        <w:rPr>
          <w:rFonts w:asciiTheme="majorBidi" w:hAnsiTheme="majorBidi" w:cstheme="majorBidi"/>
          <w:b/>
          <w:bCs/>
          <w:sz w:val="24"/>
          <w:szCs w:val="24"/>
          <w:lang w:val="en-US"/>
        </w:rPr>
        <w:t>I. Clinical and Demographic Data</w:t>
      </w:r>
    </w:p>
    <w:p w14:paraId="328743BB" w14:textId="77777777" w:rsidR="00D8096A" w:rsidRPr="00A601BD" w:rsidRDefault="00D8096A" w:rsidP="00A601BD">
      <w:pPr>
        <w:widowControl w:val="0"/>
        <w:numPr>
          <w:ilvl w:val="0"/>
          <w:numId w:val="32"/>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b/>
          <w:bCs/>
          <w:sz w:val="24"/>
          <w:szCs w:val="24"/>
          <w:lang w:val="en-US"/>
        </w:rPr>
        <w:t>Neonatal parameters</w:t>
      </w:r>
      <w:r w:rsidRPr="00A601BD">
        <w:rPr>
          <w:rFonts w:asciiTheme="majorBidi" w:hAnsiTheme="majorBidi" w:cstheme="majorBidi"/>
          <w:sz w:val="24"/>
          <w:szCs w:val="24"/>
          <w:lang w:val="en-US"/>
        </w:rPr>
        <w:t>: Sex, gestational age, birth weight, delivery mode, Apgar scores (1 and 5 min), need for resuscitation, surfactant use, consanguinity</w:t>
      </w:r>
    </w:p>
    <w:p w14:paraId="0A3E38E0" w14:textId="77777777" w:rsidR="00D8096A" w:rsidRPr="00A601BD" w:rsidRDefault="00D8096A" w:rsidP="00A601BD">
      <w:pPr>
        <w:widowControl w:val="0"/>
        <w:numPr>
          <w:ilvl w:val="0"/>
          <w:numId w:val="32"/>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b/>
          <w:bCs/>
          <w:sz w:val="24"/>
          <w:szCs w:val="24"/>
          <w:lang w:val="en-US"/>
        </w:rPr>
        <w:t>Maternal factors</w:t>
      </w:r>
      <w:r w:rsidRPr="00A601BD">
        <w:rPr>
          <w:rFonts w:asciiTheme="majorBidi" w:hAnsiTheme="majorBidi" w:cstheme="majorBidi"/>
          <w:sz w:val="24"/>
          <w:szCs w:val="24"/>
          <w:lang w:val="en-US"/>
        </w:rPr>
        <w:t>: Age, parity, antenatal steroid use, and maternal complications (e.g., preeclampsia, chorioamnionitis, anemia, PROM, gestational diabetes, placenta previa, cord prolapse)</w:t>
      </w:r>
    </w:p>
    <w:p w14:paraId="101897FC" w14:textId="77777777" w:rsidR="00D8096A" w:rsidRPr="00A601BD" w:rsidRDefault="00D8096A" w:rsidP="00A601BD">
      <w:pPr>
        <w:widowControl w:val="0"/>
        <w:autoSpaceDE w:val="0"/>
        <w:autoSpaceDN w:val="0"/>
        <w:adjustRightInd w:val="0"/>
        <w:spacing w:after="0" w:line="480" w:lineRule="auto"/>
        <w:jc w:val="both"/>
        <w:rPr>
          <w:rFonts w:asciiTheme="majorBidi" w:hAnsiTheme="majorBidi" w:cstheme="majorBidi"/>
          <w:b/>
          <w:bCs/>
          <w:sz w:val="24"/>
          <w:szCs w:val="24"/>
          <w:lang w:val="en-US"/>
        </w:rPr>
      </w:pPr>
      <w:r w:rsidRPr="00A601BD">
        <w:rPr>
          <w:rFonts w:asciiTheme="majorBidi" w:hAnsiTheme="majorBidi" w:cstheme="majorBidi"/>
          <w:b/>
          <w:bCs/>
          <w:sz w:val="24"/>
          <w:szCs w:val="24"/>
          <w:lang w:val="en-US"/>
        </w:rPr>
        <w:t>II. Respiratory and Feeding Data</w:t>
      </w:r>
    </w:p>
    <w:p w14:paraId="1A8B5147" w14:textId="77777777" w:rsidR="00D8096A" w:rsidRDefault="00D8096A" w:rsidP="00F636EA">
      <w:pPr>
        <w:widowControl w:val="0"/>
        <w:autoSpaceDE w:val="0"/>
        <w:autoSpaceDN w:val="0"/>
        <w:adjustRightInd w:val="0"/>
        <w:spacing w:after="0" w:line="480" w:lineRule="auto"/>
        <w:jc w:val="both"/>
        <w:rPr>
          <w:rFonts w:asciiTheme="majorBidi" w:hAnsiTheme="majorBidi" w:cstheme="majorBidi"/>
          <w:sz w:val="24"/>
          <w:szCs w:val="24"/>
          <w:lang w:val="en-US"/>
        </w:rPr>
      </w:pPr>
      <w:r w:rsidRPr="00F636EA">
        <w:rPr>
          <w:rFonts w:asciiTheme="majorBidi" w:hAnsiTheme="majorBidi" w:cstheme="majorBidi"/>
          <w:sz w:val="24"/>
          <w:szCs w:val="24"/>
          <w:lang w:val="en-US"/>
        </w:rPr>
        <w:t>• Time to start and length of non-invasive ventilation</w:t>
      </w:r>
    </w:p>
    <w:p w14:paraId="6DB9C324" w14:textId="77777777" w:rsidR="00D8096A" w:rsidRDefault="00D8096A" w:rsidP="00F636EA">
      <w:pPr>
        <w:widowControl w:val="0"/>
        <w:autoSpaceDE w:val="0"/>
        <w:autoSpaceDN w:val="0"/>
        <w:adjustRightInd w:val="0"/>
        <w:spacing w:after="0" w:line="480" w:lineRule="auto"/>
        <w:jc w:val="both"/>
        <w:rPr>
          <w:rFonts w:asciiTheme="majorBidi" w:hAnsiTheme="majorBidi" w:cstheme="majorBidi"/>
          <w:sz w:val="24"/>
          <w:szCs w:val="24"/>
          <w:lang w:val="en-US"/>
        </w:rPr>
      </w:pPr>
      <w:r w:rsidRPr="00F636EA">
        <w:rPr>
          <w:rFonts w:asciiTheme="majorBidi" w:hAnsiTheme="majorBidi" w:cstheme="majorBidi"/>
          <w:sz w:val="24"/>
          <w:szCs w:val="24"/>
          <w:lang w:val="en-US"/>
        </w:rPr>
        <w:t xml:space="preserve"> • Success/failure of NIV (depending on mechanical ventilation)</w:t>
      </w:r>
    </w:p>
    <w:p w14:paraId="0A803EAF" w14:textId="77777777" w:rsidR="00D8096A" w:rsidRDefault="00D8096A" w:rsidP="00F636EA">
      <w:pPr>
        <w:widowControl w:val="0"/>
        <w:autoSpaceDE w:val="0"/>
        <w:autoSpaceDN w:val="0"/>
        <w:adjustRightInd w:val="0"/>
        <w:spacing w:after="0" w:line="480" w:lineRule="auto"/>
        <w:jc w:val="both"/>
        <w:rPr>
          <w:rFonts w:asciiTheme="majorBidi" w:hAnsiTheme="majorBidi" w:cstheme="majorBidi"/>
          <w:sz w:val="24"/>
          <w:szCs w:val="24"/>
          <w:lang w:val="en-US"/>
        </w:rPr>
      </w:pPr>
      <w:r w:rsidRPr="00F636EA">
        <w:rPr>
          <w:rFonts w:asciiTheme="majorBidi" w:hAnsiTheme="majorBidi" w:cstheme="majorBidi"/>
          <w:sz w:val="24"/>
          <w:szCs w:val="24"/>
          <w:lang w:val="en-US"/>
        </w:rPr>
        <w:t xml:space="preserve"> • Length of supplemental oxygen</w:t>
      </w:r>
    </w:p>
    <w:p w14:paraId="74F163C3" w14:textId="77777777" w:rsidR="00D8096A" w:rsidRDefault="00D8096A" w:rsidP="00F636EA">
      <w:pPr>
        <w:widowControl w:val="0"/>
        <w:autoSpaceDE w:val="0"/>
        <w:autoSpaceDN w:val="0"/>
        <w:adjustRightInd w:val="0"/>
        <w:spacing w:after="0" w:line="480" w:lineRule="auto"/>
        <w:jc w:val="both"/>
        <w:rPr>
          <w:rFonts w:asciiTheme="majorBidi" w:hAnsiTheme="majorBidi" w:cstheme="majorBidi"/>
          <w:sz w:val="24"/>
          <w:szCs w:val="24"/>
          <w:lang w:val="en-US"/>
        </w:rPr>
      </w:pPr>
      <w:r w:rsidRPr="00F636EA">
        <w:rPr>
          <w:rFonts w:asciiTheme="majorBidi" w:hAnsiTheme="majorBidi" w:cstheme="majorBidi"/>
          <w:sz w:val="24"/>
          <w:szCs w:val="24"/>
          <w:lang w:val="en-US"/>
        </w:rPr>
        <w:t xml:space="preserve"> • Length of hospital stay </w:t>
      </w:r>
    </w:p>
    <w:p w14:paraId="6B8D25C6" w14:textId="77777777" w:rsidR="00D8096A" w:rsidRDefault="00D8096A" w:rsidP="00F636EA">
      <w:pPr>
        <w:widowControl w:val="0"/>
        <w:autoSpaceDE w:val="0"/>
        <w:autoSpaceDN w:val="0"/>
        <w:adjustRightInd w:val="0"/>
        <w:spacing w:after="0" w:line="480" w:lineRule="auto"/>
        <w:jc w:val="both"/>
        <w:rPr>
          <w:rFonts w:asciiTheme="majorBidi" w:hAnsiTheme="majorBidi" w:cstheme="majorBidi"/>
          <w:sz w:val="24"/>
          <w:szCs w:val="24"/>
          <w:lang w:val="en-US"/>
        </w:rPr>
      </w:pPr>
      <w:r w:rsidRPr="00F636EA">
        <w:rPr>
          <w:rFonts w:asciiTheme="majorBidi" w:hAnsiTheme="majorBidi" w:cstheme="majorBidi"/>
          <w:sz w:val="24"/>
          <w:szCs w:val="24"/>
          <w:lang w:val="en-US"/>
        </w:rPr>
        <w:t xml:space="preserve">• Start of enteral feeding </w:t>
      </w:r>
    </w:p>
    <w:p w14:paraId="20EF1963" w14:textId="77777777" w:rsidR="00D8096A" w:rsidRDefault="00D8096A" w:rsidP="00F636EA">
      <w:pPr>
        <w:widowControl w:val="0"/>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Full feeds</w:t>
      </w:r>
      <w:r w:rsidRPr="00F636EA">
        <w:rPr>
          <w:rFonts w:asciiTheme="majorBidi" w:hAnsiTheme="majorBidi" w:cstheme="majorBidi"/>
          <w:sz w:val="24"/>
          <w:szCs w:val="24"/>
          <w:lang w:val="en-US"/>
        </w:rPr>
        <w:t>Feeding intolerance (e.g., stomach distension)</w:t>
      </w:r>
    </w:p>
    <w:p w14:paraId="0FADB991" w14:textId="77777777" w:rsidR="00D8096A" w:rsidRPr="00F636EA" w:rsidRDefault="00D8096A" w:rsidP="00F636EA">
      <w:pPr>
        <w:widowControl w:val="0"/>
        <w:autoSpaceDE w:val="0"/>
        <w:autoSpaceDN w:val="0"/>
        <w:adjustRightInd w:val="0"/>
        <w:spacing w:after="0" w:line="480" w:lineRule="auto"/>
        <w:jc w:val="both"/>
        <w:rPr>
          <w:rFonts w:asciiTheme="majorBidi" w:hAnsiTheme="majorBidi" w:cstheme="majorBidi"/>
          <w:sz w:val="24"/>
          <w:szCs w:val="24"/>
          <w:lang w:val="en-US"/>
        </w:rPr>
      </w:pPr>
      <w:r w:rsidRPr="00F636EA">
        <w:rPr>
          <w:rFonts w:asciiTheme="majorBidi" w:hAnsiTheme="majorBidi" w:cstheme="majorBidi"/>
          <w:sz w:val="24"/>
          <w:szCs w:val="24"/>
          <w:lang w:val="en-US"/>
        </w:rPr>
        <w:t xml:space="preserve"> • Weight gain</w:t>
      </w:r>
    </w:p>
    <w:p w14:paraId="16B4B7E9" w14:textId="77777777" w:rsidR="00D8096A" w:rsidRPr="00A601BD" w:rsidRDefault="00D8096A" w:rsidP="00A601BD">
      <w:pPr>
        <w:widowControl w:val="0"/>
        <w:autoSpaceDE w:val="0"/>
        <w:autoSpaceDN w:val="0"/>
        <w:adjustRightInd w:val="0"/>
        <w:spacing w:after="0" w:line="480" w:lineRule="auto"/>
        <w:jc w:val="both"/>
        <w:rPr>
          <w:rFonts w:asciiTheme="majorBidi" w:hAnsiTheme="majorBidi" w:cstheme="majorBidi"/>
          <w:b/>
          <w:bCs/>
          <w:sz w:val="24"/>
          <w:szCs w:val="24"/>
          <w:lang w:val="en-US"/>
        </w:rPr>
      </w:pPr>
      <w:r w:rsidRPr="00A601BD">
        <w:rPr>
          <w:rFonts w:asciiTheme="majorBidi" w:hAnsiTheme="majorBidi" w:cstheme="majorBidi"/>
          <w:b/>
          <w:bCs/>
          <w:sz w:val="24"/>
          <w:szCs w:val="24"/>
          <w:lang w:val="en-US"/>
        </w:rPr>
        <w:t>III. Complications</w:t>
      </w:r>
    </w:p>
    <w:p w14:paraId="2E001D05" w14:textId="77777777" w:rsidR="00D8096A" w:rsidRPr="00A601BD" w:rsidRDefault="00D8096A" w:rsidP="00A601BD">
      <w:pPr>
        <w:widowControl w:val="0"/>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sz w:val="24"/>
          <w:szCs w:val="24"/>
          <w:lang w:val="en-US"/>
        </w:rPr>
        <w:t xml:space="preserve">Complications recorded included nasal trauma, apnea, pneumonia, bronchopulmonary dysplasia (BPD), intraventricular hemorrhage (IVH), retinopathy of prematurity (ROP), necrotizing </w:t>
      </w:r>
      <w:r w:rsidRPr="00A601BD">
        <w:rPr>
          <w:rFonts w:asciiTheme="majorBidi" w:hAnsiTheme="majorBidi" w:cstheme="majorBidi"/>
          <w:sz w:val="24"/>
          <w:szCs w:val="24"/>
          <w:lang w:val="en-US"/>
        </w:rPr>
        <w:lastRenderedPageBreak/>
        <w:t>enterocolitis (NEC), and neonatal sepsis.</w:t>
      </w:r>
    </w:p>
    <w:p w14:paraId="55660535" w14:textId="77777777" w:rsidR="00D8096A" w:rsidRPr="00A601BD" w:rsidRDefault="00D8096A" w:rsidP="00A601BD">
      <w:pPr>
        <w:widowControl w:val="0"/>
        <w:autoSpaceDE w:val="0"/>
        <w:autoSpaceDN w:val="0"/>
        <w:adjustRightInd w:val="0"/>
        <w:spacing w:after="0" w:line="480" w:lineRule="auto"/>
        <w:jc w:val="both"/>
        <w:rPr>
          <w:rFonts w:asciiTheme="majorBidi" w:hAnsiTheme="majorBidi" w:cstheme="majorBidi"/>
          <w:b/>
          <w:bCs/>
          <w:sz w:val="24"/>
          <w:szCs w:val="24"/>
          <w:lang w:val="en-US"/>
        </w:rPr>
      </w:pPr>
      <w:r w:rsidRPr="00A601BD">
        <w:rPr>
          <w:rFonts w:asciiTheme="majorBidi" w:hAnsiTheme="majorBidi" w:cstheme="majorBidi"/>
          <w:b/>
          <w:bCs/>
          <w:sz w:val="24"/>
          <w:szCs w:val="24"/>
          <w:lang w:val="en-US"/>
        </w:rPr>
        <w:t>IV. Investigations</w:t>
      </w:r>
    </w:p>
    <w:p w14:paraId="45E2AB87" w14:textId="77777777" w:rsidR="00D8096A" w:rsidRPr="00A601BD" w:rsidRDefault="00D8096A" w:rsidP="00A601BD">
      <w:pPr>
        <w:widowControl w:val="0"/>
        <w:numPr>
          <w:ilvl w:val="0"/>
          <w:numId w:val="34"/>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b/>
          <w:bCs/>
          <w:sz w:val="24"/>
          <w:szCs w:val="24"/>
          <w:lang w:val="en-US"/>
        </w:rPr>
        <w:t>Laboratory</w:t>
      </w:r>
      <w:r w:rsidRPr="00A601BD">
        <w:rPr>
          <w:rFonts w:asciiTheme="majorBidi" w:hAnsiTheme="majorBidi" w:cstheme="majorBidi"/>
          <w:sz w:val="24"/>
          <w:szCs w:val="24"/>
          <w:lang w:val="en-US"/>
        </w:rPr>
        <w:t>: Blood glucose, CRP, CBC (WBC, Hb, HCT, PLT, neutrophils, lymphocytes), serum electrolytes (Na⁺, K⁺, Ca²⁺), kidney function (urea, creatinine), arterial blood gases (pH, PCO₂, HCO₃)</w:t>
      </w:r>
    </w:p>
    <w:p w14:paraId="23DB3BC0" w14:textId="77777777" w:rsidR="00D8096A" w:rsidRPr="00A601BD" w:rsidRDefault="00D8096A" w:rsidP="00A601BD">
      <w:pPr>
        <w:widowControl w:val="0"/>
        <w:numPr>
          <w:ilvl w:val="0"/>
          <w:numId w:val="34"/>
        </w:numPr>
        <w:autoSpaceDE w:val="0"/>
        <w:autoSpaceDN w:val="0"/>
        <w:adjustRightInd w:val="0"/>
        <w:spacing w:after="0" w:line="480" w:lineRule="auto"/>
        <w:jc w:val="both"/>
        <w:rPr>
          <w:rFonts w:asciiTheme="majorBidi" w:hAnsiTheme="majorBidi" w:cstheme="majorBidi"/>
          <w:sz w:val="24"/>
          <w:szCs w:val="24"/>
          <w:lang w:val="en-US"/>
        </w:rPr>
      </w:pPr>
      <w:r w:rsidRPr="00A601BD">
        <w:rPr>
          <w:rFonts w:asciiTheme="majorBidi" w:hAnsiTheme="majorBidi" w:cstheme="majorBidi"/>
          <w:b/>
          <w:bCs/>
          <w:sz w:val="24"/>
          <w:szCs w:val="24"/>
          <w:lang w:val="en-US"/>
        </w:rPr>
        <w:t>Radiological</w:t>
      </w:r>
      <w:r w:rsidRPr="00A601BD">
        <w:rPr>
          <w:rFonts w:asciiTheme="majorBidi" w:hAnsiTheme="majorBidi" w:cstheme="majorBidi"/>
          <w:sz w:val="24"/>
          <w:szCs w:val="24"/>
          <w:lang w:val="en-US"/>
        </w:rPr>
        <w:t>: Chest X-ray grading of RDS severity (Grades I–III)</w:t>
      </w:r>
    </w:p>
    <w:p w14:paraId="2C900932" w14:textId="77777777" w:rsidR="00D8096A" w:rsidRPr="00A601BD" w:rsidRDefault="00D8096A" w:rsidP="00A601BD">
      <w:pPr>
        <w:widowControl w:val="0"/>
        <w:autoSpaceDE w:val="0"/>
        <w:autoSpaceDN w:val="0"/>
        <w:adjustRightInd w:val="0"/>
        <w:spacing w:after="0" w:line="480" w:lineRule="auto"/>
        <w:jc w:val="both"/>
        <w:rPr>
          <w:rFonts w:asciiTheme="majorBidi" w:hAnsiTheme="majorBidi" w:cstheme="majorBidi"/>
          <w:b/>
          <w:bCs/>
          <w:sz w:val="24"/>
          <w:szCs w:val="24"/>
          <w:lang w:val="en-US"/>
        </w:rPr>
      </w:pPr>
      <w:r w:rsidRPr="00A601BD">
        <w:rPr>
          <w:rFonts w:asciiTheme="majorBidi" w:hAnsiTheme="majorBidi" w:cstheme="majorBidi"/>
          <w:b/>
          <w:bCs/>
          <w:sz w:val="24"/>
          <w:szCs w:val="24"/>
          <w:lang w:val="en-US"/>
        </w:rPr>
        <w:t>Statistical Analysis</w:t>
      </w:r>
    </w:p>
    <w:p w14:paraId="2CBD91D7" w14:textId="3683E849" w:rsidR="00D8096A" w:rsidRPr="00F636EA" w:rsidRDefault="00D8096A" w:rsidP="00F636EA">
      <w:pPr>
        <w:widowControl w:val="0"/>
        <w:autoSpaceDE w:val="0"/>
        <w:autoSpaceDN w:val="0"/>
        <w:adjustRightInd w:val="0"/>
        <w:spacing w:after="0" w:line="480" w:lineRule="auto"/>
        <w:jc w:val="both"/>
        <w:rPr>
          <w:rFonts w:asciiTheme="majorBidi" w:hAnsiTheme="majorBidi" w:cstheme="majorBidi"/>
          <w:sz w:val="24"/>
          <w:szCs w:val="24"/>
          <w:lang w:val="en-US"/>
        </w:rPr>
      </w:pPr>
      <w:r w:rsidRPr="00F636EA">
        <w:rPr>
          <w:rFonts w:asciiTheme="majorBidi" w:hAnsiTheme="majorBidi" w:cstheme="majorBidi"/>
          <w:sz w:val="24"/>
          <w:szCs w:val="24"/>
          <w:lang w:val="en-US"/>
        </w:rPr>
        <w:t xml:space="preserve">Data was </w:t>
      </w:r>
      <w:r w:rsidR="00482A42" w:rsidRPr="00F636EA">
        <w:rPr>
          <w:rFonts w:asciiTheme="majorBidi" w:hAnsiTheme="majorBidi" w:cstheme="majorBidi"/>
          <w:sz w:val="24"/>
          <w:szCs w:val="24"/>
          <w:lang w:val="en-US"/>
        </w:rPr>
        <w:t>analyzed</w:t>
      </w:r>
      <w:r w:rsidRPr="00F636EA">
        <w:rPr>
          <w:rFonts w:asciiTheme="majorBidi" w:hAnsiTheme="majorBidi" w:cstheme="majorBidi"/>
          <w:sz w:val="24"/>
          <w:szCs w:val="24"/>
          <w:lang w:val="en-US"/>
        </w:rPr>
        <w:t xml:space="preserve"> using SPSS 28. Continuous variables were compared between groups using the independent samples t-test, expressed as mean ± SD. Categories were reported as frequencies and percentages, and Chi-square or Fisher's exact tests were used to compare them. A p-value &lt; 0.05 indicated statistical significance.</w:t>
      </w:r>
    </w:p>
    <w:p w14:paraId="7F90B44D" w14:textId="77777777" w:rsidR="00D8096A" w:rsidRPr="00A601BD" w:rsidRDefault="00D8096A" w:rsidP="00404EDA">
      <w:pPr>
        <w:widowControl w:val="0"/>
        <w:autoSpaceDE w:val="0"/>
        <w:autoSpaceDN w:val="0"/>
        <w:adjustRightInd w:val="0"/>
        <w:spacing w:after="0" w:line="480" w:lineRule="auto"/>
        <w:jc w:val="both"/>
        <w:rPr>
          <w:rFonts w:asciiTheme="majorBidi" w:hAnsiTheme="majorBidi" w:cstheme="majorBidi"/>
          <w:b/>
          <w:bCs/>
          <w:sz w:val="24"/>
          <w:szCs w:val="24"/>
          <w:lang w:val="en-US"/>
        </w:rPr>
      </w:pPr>
      <w:r w:rsidRPr="00A601BD">
        <w:rPr>
          <w:rFonts w:asciiTheme="majorBidi" w:hAnsiTheme="majorBidi" w:cstheme="majorBidi"/>
          <w:b/>
          <w:bCs/>
          <w:sz w:val="24"/>
          <w:szCs w:val="24"/>
          <w:lang w:val="en-US"/>
        </w:rPr>
        <w:t>Ethical Considerations</w:t>
      </w:r>
    </w:p>
    <w:p w14:paraId="6D61EDF3" w14:textId="220AC872" w:rsidR="00D8096A" w:rsidRPr="00F636EA" w:rsidRDefault="00D8096A" w:rsidP="005B7683">
      <w:pPr>
        <w:widowControl w:val="0"/>
        <w:autoSpaceDE w:val="0"/>
        <w:autoSpaceDN w:val="0"/>
        <w:adjustRightInd w:val="0"/>
        <w:spacing w:after="0" w:line="480" w:lineRule="auto"/>
        <w:jc w:val="both"/>
        <w:rPr>
          <w:rFonts w:asciiTheme="majorBidi" w:hAnsiTheme="majorBidi" w:cstheme="majorBidi"/>
          <w:sz w:val="24"/>
          <w:szCs w:val="24"/>
          <w:lang w:val="en-US"/>
        </w:rPr>
      </w:pPr>
      <w:r w:rsidRPr="00F636EA">
        <w:rPr>
          <w:rFonts w:asciiTheme="majorBidi" w:hAnsiTheme="majorBidi" w:cstheme="majorBidi"/>
          <w:sz w:val="24"/>
          <w:szCs w:val="24"/>
          <w:lang w:val="en-US"/>
        </w:rPr>
        <w:t xml:space="preserve">The Assiut University Children Hospital Ethics Committee approved the study (IRB No. </w:t>
      </w:r>
      <w:r w:rsidR="00F962CD">
        <w:rPr>
          <w:rFonts w:asciiTheme="majorBidi" w:hAnsiTheme="majorBidi" w:cstheme="majorBidi"/>
          <w:sz w:val="24"/>
          <w:szCs w:val="24"/>
          <w:lang w:val="en-US"/>
        </w:rPr>
        <w:t>04-2023-200204</w:t>
      </w:r>
      <w:r w:rsidRPr="00F636EA">
        <w:rPr>
          <w:rFonts w:asciiTheme="majorBidi" w:hAnsiTheme="majorBidi" w:cstheme="majorBidi"/>
          <w:sz w:val="24"/>
          <w:szCs w:val="24"/>
          <w:lang w:val="en-US"/>
        </w:rPr>
        <w:t>). All enrolled newborns' parents gave written informed permission. No experimental interventions were used because HFNC and nCPAP are RDS conventional therapies. In the study, participant confidentiality and data privacy were strictly observed.</w:t>
      </w:r>
    </w:p>
    <w:p w14:paraId="60F26668" w14:textId="77777777" w:rsidR="00D8096A" w:rsidRPr="00280DEB" w:rsidRDefault="00D8096A" w:rsidP="003E051B">
      <w:pPr>
        <w:widowControl w:val="0"/>
        <w:autoSpaceDE w:val="0"/>
        <w:autoSpaceDN w:val="0"/>
        <w:adjustRightInd w:val="0"/>
        <w:spacing w:after="0" w:line="480" w:lineRule="auto"/>
        <w:jc w:val="both"/>
        <w:rPr>
          <w:rFonts w:asciiTheme="majorBidi" w:hAnsiTheme="majorBidi" w:cstheme="majorBidi"/>
          <w:b/>
          <w:bCs/>
          <w:caps/>
          <w:sz w:val="24"/>
          <w:szCs w:val="24"/>
        </w:rPr>
      </w:pPr>
      <w:r w:rsidRPr="00280DEB">
        <w:rPr>
          <w:rFonts w:asciiTheme="majorBidi" w:hAnsiTheme="majorBidi" w:cstheme="majorBidi"/>
          <w:b/>
          <w:bCs/>
          <w:sz w:val="24"/>
          <w:szCs w:val="24"/>
        </w:rPr>
        <w:t>Results</w:t>
      </w:r>
    </w:p>
    <w:p w14:paraId="5C5EF9BD" w14:textId="77777777" w:rsidR="00D8096A" w:rsidRPr="00B97698" w:rsidRDefault="00D8096A" w:rsidP="009D3EC2">
      <w:pPr>
        <w:spacing w:before="100" w:beforeAutospacing="1" w:after="100" w:afterAutospacing="1" w:line="240" w:lineRule="auto"/>
        <w:outlineLvl w:val="2"/>
        <w:rPr>
          <w:rFonts w:asciiTheme="majorBidi" w:eastAsia="Times New Roman" w:hAnsiTheme="majorBidi" w:cstheme="majorBidi"/>
          <w:b/>
          <w:bCs/>
          <w:sz w:val="24"/>
          <w:szCs w:val="24"/>
          <w:lang w:val="en-US"/>
        </w:rPr>
      </w:pPr>
      <w:r w:rsidRPr="00B97698">
        <w:rPr>
          <w:rFonts w:asciiTheme="majorBidi" w:eastAsia="Times New Roman" w:hAnsiTheme="majorBidi" w:cstheme="majorBidi"/>
          <w:b/>
          <w:bCs/>
          <w:sz w:val="24"/>
          <w:szCs w:val="24"/>
          <w:lang w:val="en-US"/>
        </w:rPr>
        <w:t xml:space="preserve">Table 1: </w:t>
      </w:r>
      <w:r w:rsidRPr="00280DEB">
        <w:rPr>
          <w:rFonts w:asciiTheme="majorBidi" w:eastAsia="Times New Roman" w:hAnsiTheme="majorBidi" w:cstheme="majorBidi"/>
          <w:b/>
          <w:bCs/>
          <w:sz w:val="24"/>
          <w:szCs w:val="24"/>
          <w:lang w:val="en-US"/>
        </w:rPr>
        <w:t>Demographic and Maternal Risk Factors characteristics of the studied groups.</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3182"/>
        <w:gridCol w:w="2546"/>
        <w:gridCol w:w="2664"/>
        <w:gridCol w:w="964"/>
      </w:tblGrid>
      <w:tr w:rsidR="00D8096A" w:rsidRPr="00B97698" w14:paraId="4C3A957C" w14:textId="77777777" w:rsidTr="004A648B">
        <w:trPr>
          <w:trHeight w:val="271"/>
          <w:tblCellSpacing w:w="15" w:type="dxa"/>
        </w:trPr>
        <w:tc>
          <w:tcPr>
            <w:tcW w:w="0" w:type="auto"/>
            <w:tcBorders>
              <w:top w:val="single" w:sz="4" w:space="0" w:color="auto"/>
              <w:left w:val="single" w:sz="4" w:space="0" w:color="auto"/>
              <w:right w:val="single" w:sz="4" w:space="0" w:color="auto"/>
            </w:tcBorders>
            <w:vAlign w:val="center"/>
            <w:hideMark/>
          </w:tcPr>
          <w:p w14:paraId="429FC038" w14:textId="77777777" w:rsidR="00D8096A" w:rsidRPr="00B97698" w:rsidRDefault="00D8096A" w:rsidP="00B97698">
            <w:pPr>
              <w:spacing w:after="0" w:line="240" w:lineRule="auto"/>
              <w:jc w:val="center"/>
              <w:rPr>
                <w:rFonts w:asciiTheme="majorBidi" w:eastAsia="Times New Roman" w:hAnsiTheme="majorBidi" w:cstheme="majorBidi"/>
                <w:b/>
                <w:bCs/>
                <w:sz w:val="24"/>
                <w:szCs w:val="24"/>
                <w:lang w:val="en-US"/>
              </w:rPr>
            </w:pPr>
            <w:r w:rsidRPr="00B97698">
              <w:rPr>
                <w:rFonts w:asciiTheme="majorBidi" w:eastAsia="Times New Roman" w:hAnsiTheme="majorBidi" w:cstheme="majorBidi"/>
                <w:b/>
                <w:bCs/>
                <w:sz w:val="24"/>
                <w:szCs w:val="24"/>
                <w:lang w:val="en-US"/>
              </w:rPr>
              <w:t>Variable</w:t>
            </w:r>
          </w:p>
        </w:tc>
        <w:tc>
          <w:tcPr>
            <w:tcW w:w="0" w:type="auto"/>
            <w:tcBorders>
              <w:top w:val="single" w:sz="4" w:space="0" w:color="auto"/>
            </w:tcBorders>
            <w:vAlign w:val="center"/>
            <w:hideMark/>
          </w:tcPr>
          <w:p w14:paraId="059E0827" w14:textId="77777777" w:rsidR="00D8096A" w:rsidRPr="00B97698" w:rsidRDefault="00D8096A" w:rsidP="00B97698">
            <w:pPr>
              <w:spacing w:after="0" w:line="240" w:lineRule="auto"/>
              <w:jc w:val="center"/>
              <w:rPr>
                <w:rFonts w:asciiTheme="majorBidi" w:eastAsia="Times New Roman" w:hAnsiTheme="majorBidi" w:cstheme="majorBidi"/>
                <w:b/>
                <w:bCs/>
                <w:sz w:val="24"/>
                <w:szCs w:val="24"/>
                <w:lang w:val="en-US"/>
              </w:rPr>
            </w:pPr>
            <w:r w:rsidRPr="00B97698">
              <w:rPr>
                <w:rFonts w:asciiTheme="majorBidi" w:eastAsia="Times New Roman" w:hAnsiTheme="majorBidi" w:cstheme="majorBidi"/>
                <w:b/>
                <w:bCs/>
                <w:sz w:val="24"/>
                <w:szCs w:val="24"/>
                <w:lang w:val="en-US"/>
              </w:rPr>
              <w:t>HFNC Group (N=50)</w:t>
            </w:r>
          </w:p>
        </w:tc>
        <w:tc>
          <w:tcPr>
            <w:tcW w:w="0" w:type="auto"/>
            <w:tcBorders>
              <w:top w:val="single" w:sz="4" w:space="0" w:color="auto"/>
              <w:left w:val="single" w:sz="4" w:space="0" w:color="auto"/>
            </w:tcBorders>
            <w:vAlign w:val="center"/>
            <w:hideMark/>
          </w:tcPr>
          <w:p w14:paraId="1AAB718C" w14:textId="77777777" w:rsidR="00D8096A" w:rsidRPr="00B97698" w:rsidRDefault="00D8096A" w:rsidP="00B97698">
            <w:pPr>
              <w:spacing w:after="0" w:line="240" w:lineRule="auto"/>
              <w:jc w:val="center"/>
              <w:rPr>
                <w:rFonts w:asciiTheme="majorBidi" w:eastAsia="Times New Roman" w:hAnsiTheme="majorBidi" w:cstheme="majorBidi"/>
                <w:b/>
                <w:bCs/>
                <w:sz w:val="24"/>
                <w:szCs w:val="24"/>
                <w:lang w:val="en-US"/>
              </w:rPr>
            </w:pPr>
            <w:r w:rsidRPr="00B97698">
              <w:rPr>
                <w:rFonts w:asciiTheme="majorBidi" w:eastAsia="Times New Roman" w:hAnsiTheme="majorBidi" w:cstheme="majorBidi"/>
                <w:b/>
                <w:bCs/>
                <w:sz w:val="24"/>
                <w:szCs w:val="24"/>
                <w:lang w:val="en-US"/>
              </w:rPr>
              <w:t>nCPAP Group (N=50)</w:t>
            </w:r>
          </w:p>
        </w:tc>
        <w:tc>
          <w:tcPr>
            <w:tcW w:w="0" w:type="auto"/>
            <w:tcBorders>
              <w:top w:val="single" w:sz="4" w:space="0" w:color="auto"/>
              <w:left w:val="single" w:sz="4" w:space="0" w:color="auto"/>
              <w:right w:val="single" w:sz="4" w:space="0" w:color="auto"/>
            </w:tcBorders>
            <w:vAlign w:val="center"/>
            <w:hideMark/>
          </w:tcPr>
          <w:p w14:paraId="3E2FD63C" w14:textId="77777777" w:rsidR="00D8096A" w:rsidRPr="00B97698" w:rsidRDefault="00D8096A" w:rsidP="00B97698">
            <w:pPr>
              <w:spacing w:after="0" w:line="240" w:lineRule="auto"/>
              <w:jc w:val="center"/>
              <w:rPr>
                <w:rFonts w:asciiTheme="majorBidi" w:eastAsia="Times New Roman" w:hAnsiTheme="majorBidi" w:cstheme="majorBidi"/>
                <w:b/>
                <w:bCs/>
                <w:sz w:val="24"/>
                <w:szCs w:val="24"/>
                <w:lang w:val="en-US"/>
              </w:rPr>
            </w:pPr>
            <w:r w:rsidRPr="00B97698">
              <w:rPr>
                <w:rFonts w:asciiTheme="majorBidi" w:eastAsia="Times New Roman" w:hAnsiTheme="majorBidi" w:cstheme="majorBidi"/>
                <w:b/>
                <w:bCs/>
                <w:sz w:val="24"/>
                <w:szCs w:val="24"/>
                <w:lang w:val="en-US"/>
              </w:rPr>
              <w:t>p-value</w:t>
            </w:r>
          </w:p>
        </w:tc>
      </w:tr>
      <w:tr w:rsidR="00D8096A" w:rsidRPr="00B97698" w14:paraId="6AC014FC" w14:textId="77777777" w:rsidTr="004A648B">
        <w:trPr>
          <w:trHeight w:val="286"/>
          <w:tblCellSpacing w:w="15" w:type="dxa"/>
        </w:trPr>
        <w:tc>
          <w:tcPr>
            <w:tcW w:w="0" w:type="auto"/>
            <w:tcBorders>
              <w:top w:val="single" w:sz="4" w:space="0" w:color="auto"/>
              <w:left w:val="single" w:sz="4" w:space="0" w:color="auto"/>
              <w:right w:val="single" w:sz="4" w:space="0" w:color="auto"/>
            </w:tcBorders>
            <w:vAlign w:val="center"/>
            <w:hideMark/>
          </w:tcPr>
          <w:p w14:paraId="7E85A024"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b/>
                <w:bCs/>
                <w:sz w:val="24"/>
                <w:szCs w:val="24"/>
                <w:lang w:val="en-US"/>
              </w:rPr>
              <w:t>Gender</w:t>
            </w:r>
          </w:p>
        </w:tc>
        <w:tc>
          <w:tcPr>
            <w:tcW w:w="0" w:type="auto"/>
            <w:tcBorders>
              <w:top w:val="single" w:sz="4" w:space="0" w:color="auto"/>
            </w:tcBorders>
            <w:vAlign w:val="center"/>
            <w:hideMark/>
          </w:tcPr>
          <w:p w14:paraId="675D8D12"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c>
          <w:tcPr>
            <w:tcW w:w="0" w:type="auto"/>
            <w:tcBorders>
              <w:top w:val="single" w:sz="4" w:space="0" w:color="auto"/>
              <w:left w:val="single" w:sz="4" w:space="0" w:color="auto"/>
            </w:tcBorders>
            <w:vAlign w:val="center"/>
            <w:hideMark/>
          </w:tcPr>
          <w:p w14:paraId="0AF9DF75"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c>
          <w:tcPr>
            <w:tcW w:w="0" w:type="auto"/>
            <w:tcBorders>
              <w:top w:val="single" w:sz="4" w:space="0" w:color="auto"/>
              <w:left w:val="single" w:sz="4" w:space="0" w:color="auto"/>
              <w:right w:val="single" w:sz="4" w:space="0" w:color="auto"/>
            </w:tcBorders>
            <w:vAlign w:val="center"/>
            <w:hideMark/>
          </w:tcPr>
          <w:p w14:paraId="2EFE3EE8"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r>
      <w:tr w:rsidR="00D8096A" w:rsidRPr="00B97698" w14:paraId="17255E9B" w14:textId="77777777" w:rsidTr="004A648B">
        <w:trPr>
          <w:trHeight w:val="271"/>
          <w:tblCellSpacing w:w="15" w:type="dxa"/>
        </w:trPr>
        <w:tc>
          <w:tcPr>
            <w:tcW w:w="0" w:type="auto"/>
            <w:tcBorders>
              <w:top w:val="single" w:sz="4" w:space="0" w:color="auto"/>
              <w:left w:val="single" w:sz="4" w:space="0" w:color="auto"/>
              <w:right w:val="single" w:sz="4" w:space="0" w:color="auto"/>
            </w:tcBorders>
            <w:vAlign w:val="center"/>
            <w:hideMark/>
          </w:tcPr>
          <w:p w14:paraId="65F1E50E"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Male</w:t>
            </w:r>
          </w:p>
        </w:tc>
        <w:tc>
          <w:tcPr>
            <w:tcW w:w="0" w:type="auto"/>
            <w:tcBorders>
              <w:top w:val="single" w:sz="4" w:space="0" w:color="auto"/>
            </w:tcBorders>
            <w:vAlign w:val="center"/>
            <w:hideMark/>
          </w:tcPr>
          <w:p w14:paraId="0BED3E4E"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29 (58.0%)</w:t>
            </w:r>
          </w:p>
        </w:tc>
        <w:tc>
          <w:tcPr>
            <w:tcW w:w="0" w:type="auto"/>
            <w:tcBorders>
              <w:top w:val="single" w:sz="4" w:space="0" w:color="auto"/>
              <w:left w:val="single" w:sz="4" w:space="0" w:color="auto"/>
            </w:tcBorders>
            <w:vAlign w:val="center"/>
            <w:hideMark/>
          </w:tcPr>
          <w:p w14:paraId="277BDF40"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22 (44.0%)</w:t>
            </w:r>
          </w:p>
        </w:tc>
        <w:tc>
          <w:tcPr>
            <w:tcW w:w="0" w:type="auto"/>
            <w:tcBorders>
              <w:top w:val="single" w:sz="4" w:space="0" w:color="auto"/>
              <w:left w:val="single" w:sz="4" w:space="0" w:color="auto"/>
              <w:right w:val="single" w:sz="4" w:space="0" w:color="auto"/>
            </w:tcBorders>
            <w:vAlign w:val="center"/>
            <w:hideMark/>
          </w:tcPr>
          <w:p w14:paraId="56305478"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0.230</w:t>
            </w:r>
          </w:p>
        </w:tc>
      </w:tr>
      <w:tr w:rsidR="00D8096A" w:rsidRPr="00B97698" w14:paraId="349F4D50" w14:textId="77777777" w:rsidTr="004A648B">
        <w:trPr>
          <w:trHeight w:val="28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AB2013"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Female</w:t>
            </w:r>
          </w:p>
        </w:tc>
        <w:tc>
          <w:tcPr>
            <w:tcW w:w="0" w:type="auto"/>
            <w:tcBorders>
              <w:top w:val="single" w:sz="4" w:space="0" w:color="auto"/>
              <w:bottom w:val="single" w:sz="4" w:space="0" w:color="auto"/>
            </w:tcBorders>
            <w:vAlign w:val="center"/>
            <w:hideMark/>
          </w:tcPr>
          <w:p w14:paraId="32FA427C"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21 (42.0%)</w:t>
            </w:r>
          </w:p>
        </w:tc>
        <w:tc>
          <w:tcPr>
            <w:tcW w:w="0" w:type="auto"/>
            <w:tcBorders>
              <w:top w:val="single" w:sz="4" w:space="0" w:color="auto"/>
              <w:left w:val="single" w:sz="4" w:space="0" w:color="auto"/>
              <w:bottom w:val="single" w:sz="4" w:space="0" w:color="auto"/>
            </w:tcBorders>
            <w:vAlign w:val="center"/>
            <w:hideMark/>
          </w:tcPr>
          <w:p w14:paraId="45D550C2"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28 (56.0%)</w:t>
            </w:r>
          </w:p>
        </w:tc>
        <w:tc>
          <w:tcPr>
            <w:tcW w:w="0" w:type="auto"/>
            <w:tcBorders>
              <w:top w:val="single" w:sz="4" w:space="0" w:color="auto"/>
              <w:left w:val="single" w:sz="4" w:space="0" w:color="auto"/>
              <w:bottom w:val="single" w:sz="4" w:space="0" w:color="auto"/>
              <w:right w:val="single" w:sz="4" w:space="0" w:color="auto"/>
            </w:tcBorders>
            <w:vAlign w:val="center"/>
            <w:hideMark/>
          </w:tcPr>
          <w:p w14:paraId="238807C8"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0.760</w:t>
            </w:r>
          </w:p>
        </w:tc>
      </w:tr>
      <w:tr w:rsidR="00D8096A" w:rsidRPr="00B97698" w14:paraId="52986228" w14:textId="77777777" w:rsidTr="004A648B">
        <w:trPr>
          <w:trHeight w:val="271"/>
          <w:tblCellSpacing w:w="15" w:type="dxa"/>
        </w:trPr>
        <w:tc>
          <w:tcPr>
            <w:tcW w:w="0" w:type="auto"/>
            <w:tcBorders>
              <w:left w:val="single" w:sz="4" w:space="0" w:color="auto"/>
              <w:bottom w:val="single" w:sz="4" w:space="0" w:color="auto"/>
              <w:right w:val="single" w:sz="4" w:space="0" w:color="auto"/>
            </w:tcBorders>
            <w:vAlign w:val="center"/>
            <w:hideMark/>
          </w:tcPr>
          <w:p w14:paraId="5E65BEBE"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b/>
                <w:bCs/>
                <w:sz w:val="24"/>
                <w:szCs w:val="24"/>
                <w:lang w:val="en-US"/>
              </w:rPr>
              <w:t>Gestational Age (weeks)</w:t>
            </w:r>
          </w:p>
        </w:tc>
        <w:tc>
          <w:tcPr>
            <w:tcW w:w="0" w:type="auto"/>
            <w:tcBorders>
              <w:bottom w:val="single" w:sz="4" w:space="0" w:color="auto"/>
            </w:tcBorders>
            <w:vAlign w:val="center"/>
            <w:hideMark/>
          </w:tcPr>
          <w:p w14:paraId="00536036"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32.48 ± 1.59</w:t>
            </w:r>
          </w:p>
        </w:tc>
        <w:tc>
          <w:tcPr>
            <w:tcW w:w="0" w:type="auto"/>
            <w:tcBorders>
              <w:left w:val="single" w:sz="4" w:space="0" w:color="auto"/>
              <w:bottom w:val="single" w:sz="4" w:space="0" w:color="auto"/>
            </w:tcBorders>
            <w:vAlign w:val="center"/>
            <w:hideMark/>
          </w:tcPr>
          <w:p w14:paraId="199E9B49"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32.38 ± 1.68</w:t>
            </w:r>
          </w:p>
        </w:tc>
        <w:tc>
          <w:tcPr>
            <w:tcW w:w="0" w:type="auto"/>
            <w:tcBorders>
              <w:left w:val="single" w:sz="4" w:space="0" w:color="auto"/>
              <w:bottom w:val="single" w:sz="4" w:space="0" w:color="auto"/>
              <w:right w:val="single" w:sz="4" w:space="0" w:color="auto"/>
            </w:tcBorders>
            <w:vAlign w:val="center"/>
            <w:hideMark/>
          </w:tcPr>
          <w:p w14:paraId="74B804AD"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0.973</w:t>
            </w:r>
          </w:p>
        </w:tc>
      </w:tr>
      <w:tr w:rsidR="00D8096A" w:rsidRPr="00B97698" w14:paraId="26751363" w14:textId="77777777" w:rsidTr="004A648B">
        <w:trPr>
          <w:trHeight w:val="271"/>
          <w:tblCellSpacing w:w="15" w:type="dxa"/>
        </w:trPr>
        <w:tc>
          <w:tcPr>
            <w:tcW w:w="0" w:type="auto"/>
            <w:tcBorders>
              <w:left w:val="single" w:sz="4" w:space="0" w:color="auto"/>
              <w:right w:val="single" w:sz="4" w:space="0" w:color="auto"/>
            </w:tcBorders>
            <w:vAlign w:val="center"/>
            <w:hideMark/>
          </w:tcPr>
          <w:p w14:paraId="3AFA676E"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30–32 weeks GA</w:t>
            </w:r>
          </w:p>
        </w:tc>
        <w:tc>
          <w:tcPr>
            <w:tcW w:w="0" w:type="auto"/>
            <w:vAlign w:val="center"/>
            <w:hideMark/>
          </w:tcPr>
          <w:p w14:paraId="335ECB11"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37 (74.0%)</w:t>
            </w:r>
          </w:p>
        </w:tc>
        <w:tc>
          <w:tcPr>
            <w:tcW w:w="0" w:type="auto"/>
            <w:tcBorders>
              <w:left w:val="single" w:sz="4" w:space="0" w:color="auto"/>
            </w:tcBorders>
            <w:vAlign w:val="center"/>
            <w:hideMark/>
          </w:tcPr>
          <w:p w14:paraId="56A1186D"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33 (66.0%)</w:t>
            </w:r>
          </w:p>
        </w:tc>
        <w:tc>
          <w:tcPr>
            <w:tcW w:w="0" w:type="auto"/>
            <w:tcBorders>
              <w:left w:val="single" w:sz="4" w:space="0" w:color="auto"/>
              <w:right w:val="single" w:sz="4" w:space="0" w:color="auto"/>
            </w:tcBorders>
            <w:vAlign w:val="center"/>
            <w:hideMark/>
          </w:tcPr>
          <w:p w14:paraId="7D32F1D9"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0.629</w:t>
            </w:r>
          </w:p>
        </w:tc>
      </w:tr>
      <w:tr w:rsidR="00D8096A" w:rsidRPr="00B97698" w14:paraId="19EBCF06" w14:textId="77777777" w:rsidTr="004A648B">
        <w:trPr>
          <w:trHeight w:val="286"/>
          <w:tblCellSpacing w:w="15" w:type="dxa"/>
        </w:trPr>
        <w:tc>
          <w:tcPr>
            <w:tcW w:w="0" w:type="auto"/>
            <w:tcBorders>
              <w:top w:val="single" w:sz="4" w:space="0" w:color="auto"/>
              <w:left w:val="single" w:sz="4" w:space="0" w:color="auto"/>
              <w:right w:val="single" w:sz="4" w:space="0" w:color="auto"/>
            </w:tcBorders>
            <w:vAlign w:val="center"/>
            <w:hideMark/>
          </w:tcPr>
          <w:p w14:paraId="747572B0"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33–36 weeks GA</w:t>
            </w:r>
          </w:p>
        </w:tc>
        <w:tc>
          <w:tcPr>
            <w:tcW w:w="0" w:type="auto"/>
            <w:tcBorders>
              <w:top w:val="single" w:sz="4" w:space="0" w:color="auto"/>
            </w:tcBorders>
            <w:vAlign w:val="center"/>
            <w:hideMark/>
          </w:tcPr>
          <w:p w14:paraId="58BDACD7"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13 (26.0%)</w:t>
            </w:r>
          </w:p>
        </w:tc>
        <w:tc>
          <w:tcPr>
            <w:tcW w:w="0" w:type="auto"/>
            <w:tcBorders>
              <w:top w:val="single" w:sz="4" w:space="0" w:color="auto"/>
              <w:left w:val="single" w:sz="4" w:space="0" w:color="auto"/>
            </w:tcBorders>
            <w:vAlign w:val="center"/>
            <w:hideMark/>
          </w:tcPr>
          <w:p w14:paraId="7F9CAB50"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17 (34.0%)</w:t>
            </w:r>
          </w:p>
        </w:tc>
        <w:tc>
          <w:tcPr>
            <w:tcW w:w="0" w:type="auto"/>
            <w:tcBorders>
              <w:top w:val="single" w:sz="4" w:space="0" w:color="auto"/>
              <w:left w:val="single" w:sz="4" w:space="0" w:color="auto"/>
              <w:right w:val="single" w:sz="4" w:space="0" w:color="auto"/>
            </w:tcBorders>
            <w:vAlign w:val="center"/>
            <w:hideMark/>
          </w:tcPr>
          <w:p w14:paraId="38651BE4"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r>
      <w:tr w:rsidR="00D8096A" w:rsidRPr="00B97698" w14:paraId="4C964A1D" w14:textId="77777777" w:rsidTr="004A648B">
        <w:trPr>
          <w:trHeight w:val="271"/>
          <w:tblCellSpacing w:w="15" w:type="dxa"/>
        </w:trPr>
        <w:tc>
          <w:tcPr>
            <w:tcW w:w="0" w:type="auto"/>
            <w:tcBorders>
              <w:top w:val="single" w:sz="4" w:space="0" w:color="auto"/>
              <w:left w:val="single" w:sz="4" w:space="0" w:color="auto"/>
              <w:right w:val="single" w:sz="4" w:space="0" w:color="auto"/>
            </w:tcBorders>
            <w:vAlign w:val="center"/>
            <w:hideMark/>
          </w:tcPr>
          <w:p w14:paraId="0671E0D1"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b/>
                <w:bCs/>
                <w:sz w:val="24"/>
                <w:szCs w:val="24"/>
                <w:lang w:val="en-US"/>
              </w:rPr>
              <w:lastRenderedPageBreak/>
              <w:t>Birth Weight (kg)</w:t>
            </w:r>
          </w:p>
        </w:tc>
        <w:tc>
          <w:tcPr>
            <w:tcW w:w="0" w:type="auto"/>
            <w:tcBorders>
              <w:top w:val="single" w:sz="4" w:space="0" w:color="auto"/>
            </w:tcBorders>
            <w:vAlign w:val="center"/>
            <w:hideMark/>
          </w:tcPr>
          <w:p w14:paraId="59CA57EA"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1.68 ± 0.39</w:t>
            </w:r>
          </w:p>
        </w:tc>
        <w:tc>
          <w:tcPr>
            <w:tcW w:w="0" w:type="auto"/>
            <w:tcBorders>
              <w:top w:val="single" w:sz="4" w:space="0" w:color="auto"/>
              <w:left w:val="single" w:sz="4" w:space="0" w:color="auto"/>
            </w:tcBorders>
            <w:vAlign w:val="center"/>
            <w:hideMark/>
          </w:tcPr>
          <w:p w14:paraId="429B895E"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1.60 ± 0.40</w:t>
            </w:r>
          </w:p>
        </w:tc>
        <w:tc>
          <w:tcPr>
            <w:tcW w:w="0" w:type="auto"/>
            <w:tcBorders>
              <w:top w:val="single" w:sz="4" w:space="0" w:color="auto"/>
              <w:left w:val="single" w:sz="4" w:space="0" w:color="auto"/>
              <w:right w:val="single" w:sz="4" w:space="0" w:color="auto"/>
            </w:tcBorders>
            <w:vAlign w:val="center"/>
            <w:hideMark/>
          </w:tcPr>
          <w:p w14:paraId="63F1C16C"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0.265</w:t>
            </w:r>
          </w:p>
        </w:tc>
      </w:tr>
      <w:tr w:rsidR="00D8096A" w:rsidRPr="00B97698" w14:paraId="4460DE98" w14:textId="77777777" w:rsidTr="004A648B">
        <w:trPr>
          <w:trHeight w:val="286"/>
          <w:tblCellSpacing w:w="15" w:type="dxa"/>
        </w:trPr>
        <w:tc>
          <w:tcPr>
            <w:tcW w:w="0" w:type="auto"/>
            <w:tcBorders>
              <w:top w:val="single" w:sz="4" w:space="0" w:color="auto"/>
              <w:left w:val="single" w:sz="4" w:space="0" w:color="auto"/>
              <w:right w:val="single" w:sz="4" w:space="0" w:color="auto"/>
            </w:tcBorders>
            <w:vAlign w:val="center"/>
            <w:hideMark/>
          </w:tcPr>
          <w:p w14:paraId="3CA61A5E"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b/>
                <w:bCs/>
                <w:sz w:val="24"/>
                <w:szCs w:val="24"/>
                <w:lang w:val="en-US"/>
              </w:rPr>
              <w:t>Mode of Delivery</w:t>
            </w:r>
          </w:p>
        </w:tc>
        <w:tc>
          <w:tcPr>
            <w:tcW w:w="0" w:type="auto"/>
            <w:tcBorders>
              <w:top w:val="single" w:sz="4" w:space="0" w:color="auto"/>
            </w:tcBorders>
            <w:vAlign w:val="center"/>
            <w:hideMark/>
          </w:tcPr>
          <w:p w14:paraId="4B4E6E33"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c>
          <w:tcPr>
            <w:tcW w:w="0" w:type="auto"/>
            <w:tcBorders>
              <w:top w:val="single" w:sz="4" w:space="0" w:color="auto"/>
              <w:left w:val="single" w:sz="4" w:space="0" w:color="auto"/>
            </w:tcBorders>
            <w:vAlign w:val="center"/>
            <w:hideMark/>
          </w:tcPr>
          <w:p w14:paraId="1AE68381"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c>
          <w:tcPr>
            <w:tcW w:w="0" w:type="auto"/>
            <w:tcBorders>
              <w:top w:val="single" w:sz="4" w:space="0" w:color="auto"/>
              <w:left w:val="single" w:sz="4" w:space="0" w:color="auto"/>
              <w:right w:val="single" w:sz="4" w:space="0" w:color="auto"/>
            </w:tcBorders>
            <w:vAlign w:val="center"/>
            <w:hideMark/>
          </w:tcPr>
          <w:p w14:paraId="184FB1B3"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0.978</w:t>
            </w:r>
          </w:p>
        </w:tc>
      </w:tr>
      <w:tr w:rsidR="00D8096A" w:rsidRPr="00B97698" w14:paraId="241F2D96" w14:textId="77777777" w:rsidTr="004A648B">
        <w:trPr>
          <w:trHeight w:val="271"/>
          <w:tblCellSpacing w:w="15" w:type="dxa"/>
        </w:trPr>
        <w:tc>
          <w:tcPr>
            <w:tcW w:w="0" w:type="auto"/>
            <w:tcBorders>
              <w:top w:val="single" w:sz="4" w:space="0" w:color="auto"/>
              <w:left w:val="single" w:sz="4" w:space="0" w:color="auto"/>
              <w:right w:val="single" w:sz="4" w:space="0" w:color="auto"/>
            </w:tcBorders>
            <w:vAlign w:val="center"/>
            <w:hideMark/>
          </w:tcPr>
          <w:p w14:paraId="53483A65"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Emergency CS</w:t>
            </w:r>
          </w:p>
        </w:tc>
        <w:tc>
          <w:tcPr>
            <w:tcW w:w="0" w:type="auto"/>
            <w:tcBorders>
              <w:top w:val="single" w:sz="4" w:space="0" w:color="auto"/>
            </w:tcBorders>
            <w:vAlign w:val="center"/>
            <w:hideMark/>
          </w:tcPr>
          <w:p w14:paraId="14F511FB"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27 (54.0%)</w:t>
            </w:r>
          </w:p>
        </w:tc>
        <w:tc>
          <w:tcPr>
            <w:tcW w:w="0" w:type="auto"/>
            <w:tcBorders>
              <w:top w:val="single" w:sz="4" w:space="0" w:color="auto"/>
              <w:left w:val="single" w:sz="4" w:space="0" w:color="auto"/>
            </w:tcBorders>
            <w:vAlign w:val="center"/>
            <w:hideMark/>
          </w:tcPr>
          <w:p w14:paraId="18BF8322"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29 (58.0%)</w:t>
            </w:r>
          </w:p>
        </w:tc>
        <w:tc>
          <w:tcPr>
            <w:tcW w:w="0" w:type="auto"/>
            <w:tcBorders>
              <w:top w:val="single" w:sz="4" w:space="0" w:color="auto"/>
              <w:left w:val="single" w:sz="4" w:space="0" w:color="auto"/>
              <w:right w:val="single" w:sz="4" w:space="0" w:color="auto"/>
            </w:tcBorders>
            <w:vAlign w:val="center"/>
            <w:hideMark/>
          </w:tcPr>
          <w:p w14:paraId="061664A1"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r>
      <w:tr w:rsidR="00D8096A" w:rsidRPr="00B97698" w14:paraId="4664F2A8" w14:textId="77777777" w:rsidTr="004A648B">
        <w:trPr>
          <w:trHeight w:val="27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B2496B4"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Elective CS</w:t>
            </w:r>
          </w:p>
        </w:tc>
        <w:tc>
          <w:tcPr>
            <w:tcW w:w="0" w:type="auto"/>
            <w:tcBorders>
              <w:top w:val="single" w:sz="4" w:space="0" w:color="auto"/>
              <w:bottom w:val="single" w:sz="4" w:space="0" w:color="auto"/>
            </w:tcBorders>
            <w:vAlign w:val="center"/>
            <w:hideMark/>
          </w:tcPr>
          <w:p w14:paraId="25B64E9C"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20 (40.0%)</w:t>
            </w:r>
          </w:p>
        </w:tc>
        <w:tc>
          <w:tcPr>
            <w:tcW w:w="0" w:type="auto"/>
            <w:tcBorders>
              <w:top w:val="single" w:sz="4" w:space="0" w:color="auto"/>
              <w:left w:val="single" w:sz="4" w:space="0" w:color="auto"/>
              <w:bottom w:val="single" w:sz="4" w:space="0" w:color="auto"/>
            </w:tcBorders>
            <w:vAlign w:val="center"/>
            <w:hideMark/>
          </w:tcPr>
          <w:p w14:paraId="5DF27AA1"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19 (38.0%)</w:t>
            </w:r>
          </w:p>
        </w:tc>
        <w:tc>
          <w:tcPr>
            <w:tcW w:w="0" w:type="auto"/>
            <w:tcBorders>
              <w:top w:val="single" w:sz="4" w:space="0" w:color="auto"/>
              <w:left w:val="single" w:sz="4" w:space="0" w:color="auto"/>
              <w:bottom w:val="single" w:sz="4" w:space="0" w:color="auto"/>
              <w:right w:val="single" w:sz="4" w:space="0" w:color="auto"/>
            </w:tcBorders>
            <w:vAlign w:val="center"/>
            <w:hideMark/>
          </w:tcPr>
          <w:p w14:paraId="3A576907"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r>
      <w:tr w:rsidR="00D8096A" w:rsidRPr="00B97698" w14:paraId="080D379C" w14:textId="77777777" w:rsidTr="004A648B">
        <w:trPr>
          <w:trHeight w:val="286"/>
          <w:tblCellSpacing w:w="15" w:type="dxa"/>
        </w:trPr>
        <w:tc>
          <w:tcPr>
            <w:tcW w:w="0" w:type="auto"/>
            <w:tcBorders>
              <w:left w:val="single" w:sz="4" w:space="0" w:color="auto"/>
              <w:bottom w:val="single" w:sz="4" w:space="0" w:color="auto"/>
              <w:right w:val="single" w:sz="4" w:space="0" w:color="auto"/>
            </w:tcBorders>
            <w:vAlign w:val="center"/>
            <w:hideMark/>
          </w:tcPr>
          <w:p w14:paraId="29BDEAF4"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NVD</w:t>
            </w:r>
          </w:p>
        </w:tc>
        <w:tc>
          <w:tcPr>
            <w:tcW w:w="0" w:type="auto"/>
            <w:tcBorders>
              <w:bottom w:val="single" w:sz="4" w:space="0" w:color="auto"/>
            </w:tcBorders>
            <w:vAlign w:val="center"/>
            <w:hideMark/>
          </w:tcPr>
          <w:p w14:paraId="75EB56E6"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3 (6.0%)</w:t>
            </w:r>
          </w:p>
        </w:tc>
        <w:tc>
          <w:tcPr>
            <w:tcW w:w="0" w:type="auto"/>
            <w:tcBorders>
              <w:left w:val="single" w:sz="4" w:space="0" w:color="auto"/>
              <w:bottom w:val="single" w:sz="4" w:space="0" w:color="auto"/>
            </w:tcBorders>
            <w:vAlign w:val="center"/>
            <w:hideMark/>
          </w:tcPr>
          <w:p w14:paraId="6071A19A"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 (4.0%)</w:t>
            </w:r>
          </w:p>
        </w:tc>
        <w:tc>
          <w:tcPr>
            <w:tcW w:w="0" w:type="auto"/>
            <w:tcBorders>
              <w:left w:val="single" w:sz="4" w:space="0" w:color="auto"/>
              <w:bottom w:val="single" w:sz="4" w:space="0" w:color="auto"/>
              <w:right w:val="single" w:sz="4" w:space="0" w:color="auto"/>
            </w:tcBorders>
            <w:vAlign w:val="center"/>
            <w:hideMark/>
          </w:tcPr>
          <w:p w14:paraId="025167F1"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r>
      <w:tr w:rsidR="00D8096A" w:rsidRPr="00B97698" w14:paraId="56EBC648" w14:textId="77777777" w:rsidTr="00A053E4">
        <w:trPr>
          <w:trHeight w:val="271"/>
          <w:tblCellSpacing w:w="15" w:type="dxa"/>
        </w:trPr>
        <w:tc>
          <w:tcPr>
            <w:tcW w:w="0" w:type="auto"/>
            <w:tcBorders>
              <w:left w:val="single" w:sz="4" w:space="0" w:color="auto"/>
            </w:tcBorders>
            <w:vAlign w:val="center"/>
            <w:hideMark/>
          </w:tcPr>
          <w:p w14:paraId="7E1B11D8"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b/>
                <w:bCs/>
                <w:sz w:val="24"/>
                <w:szCs w:val="24"/>
                <w:lang w:val="en-US"/>
              </w:rPr>
              <w:t>Resuscitation at Birth</w:t>
            </w:r>
          </w:p>
        </w:tc>
        <w:tc>
          <w:tcPr>
            <w:tcW w:w="0" w:type="auto"/>
            <w:vAlign w:val="center"/>
            <w:hideMark/>
          </w:tcPr>
          <w:p w14:paraId="6F8888D0"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7 (14.0%)</w:t>
            </w:r>
          </w:p>
        </w:tc>
        <w:tc>
          <w:tcPr>
            <w:tcW w:w="0" w:type="auto"/>
            <w:vAlign w:val="center"/>
            <w:hideMark/>
          </w:tcPr>
          <w:p w14:paraId="63F58022"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13 (26.0%)</w:t>
            </w:r>
          </w:p>
        </w:tc>
        <w:tc>
          <w:tcPr>
            <w:tcW w:w="0" w:type="auto"/>
            <w:tcBorders>
              <w:right w:val="single" w:sz="4" w:space="0" w:color="auto"/>
            </w:tcBorders>
            <w:vAlign w:val="center"/>
            <w:hideMark/>
          </w:tcPr>
          <w:p w14:paraId="5C4179D5"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0.135</w:t>
            </w:r>
          </w:p>
        </w:tc>
      </w:tr>
      <w:tr w:rsidR="00D8096A" w:rsidRPr="00B97698" w14:paraId="44BB6EA8" w14:textId="77777777" w:rsidTr="00A053E4">
        <w:trPr>
          <w:trHeight w:val="286"/>
          <w:tblCellSpacing w:w="15" w:type="dxa"/>
        </w:trPr>
        <w:tc>
          <w:tcPr>
            <w:tcW w:w="0" w:type="auto"/>
            <w:tcBorders>
              <w:top w:val="single" w:sz="4" w:space="0" w:color="auto"/>
              <w:left w:val="single" w:sz="4" w:space="0" w:color="auto"/>
            </w:tcBorders>
            <w:vAlign w:val="center"/>
            <w:hideMark/>
          </w:tcPr>
          <w:p w14:paraId="2E229332"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b/>
                <w:bCs/>
                <w:sz w:val="24"/>
                <w:szCs w:val="24"/>
                <w:lang w:val="en-US"/>
              </w:rPr>
              <w:t>Apgar Score</w:t>
            </w:r>
          </w:p>
        </w:tc>
        <w:tc>
          <w:tcPr>
            <w:tcW w:w="0" w:type="auto"/>
            <w:tcBorders>
              <w:top w:val="single" w:sz="4" w:space="0" w:color="auto"/>
            </w:tcBorders>
            <w:vAlign w:val="center"/>
            <w:hideMark/>
          </w:tcPr>
          <w:p w14:paraId="7F75B33C"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c>
          <w:tcPr>
            <w:tcW w:w="0" w:type="auto"/>
            <w:tcBorders>
              <w:top w:val="single" w:sz="4" w:space="0" w:color="auto"/>
            </w:tcBorders>
            <w:vAlign w:val="center"/>
            <w:hideMark/>
          </w:tcPr>
          <w:p w14:paraId="616A0F56"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c>
          <w:tcPr>
            <w:tcW w:w="0" w:type="auto"/>
            <w:tcBorders>
              <w:top w:val="single" w:sz="4" w:space="0" w:color="auto"/>
              <w:right w:val="single" w:sz="4" w:space="0" w:color="auto"/>
            </w:tcBorders>
            <w:vAlign w:val="center"/>
            <w:hideMark/>
          </w:tcPr>
          <w:p w14:paraId="3CDB50E6"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r>
      <w:tr w:rsidR="00D8096A" w:rsidRPr="00B97698" w14:paraId="00B58DF4" w14:textId="77777777" w:rsidTr="00A053E4">
        <w:trPr>
          <w:trHeight w:val="271"/>
          <w:tblCellSpacing w:w="15" w:type="dxa"/>
        </w:trPr>
        <w:tc>
          <w:tcPr>
            <w:tcW w:w="0" w:type="auto"/>
            <w:tcBorders>
              <w:top w:val="single" w:sz="4" w:space="0" w:color="auto"/>
              <w:left w:val="single" w:sz="4" w:space="0" w:color="auto"/>
            </w:tcBorders>
            <w:vAlign w:val="center"/>
            <w:hideMark/>
          </w:tcPr>
          <w:p w14:paraId="6590FA78"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 min</w:t>
            </w:r>
          </w:p>
        </w:tc>
        <w:tc>
          <w:tcPr>
            <w:tcW w:w="0" w:type="auto"/>
            <w:tcBorders>
              <w:top w:val="single" w:sz="4" w:space="0" w:color="auto"/>
            </w:tcBorders>
            <w:vAlign w:val="center"/>
            <w:hideMark/>
          </w:tcPr>
          <w:p w14:paraId="05E5CCD3"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4.18 ± 1.34</w:t>
            </w:r>
          </w:p>
        </w:tc>
        <w:tc>
          <w:tcPr>
            <w:tcW w:w="0" w:type="auto"/>
            <w:tcBorders>
              <w:top w:val="single" w:sz="4" w:space="0" w:color="auto"/>
            </w:tcBorders>
            <w:vAlign w:val="center"/>
            <w:hideMark/>
          </w:tcPr>
          <w:p w14:paraId="5BEF7E76"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4.70 ± 1.42</w:t>
            </w:r>
          </w:p>
        </w:tc>
        <w:tc>
          <w:tcPr>
            <w:tcW w:w="0" w:type="auto"/>
            <w:tcBorders>
              <w:top w:val="single" w:sz="4" w:space="0" w:color="auto"/>
              <w:right w:val="single" w:sz="4" w:space="0" w:color="auto"/>
            </w:tcBorders>
            <w:vAlign w:val="center"/>
            <w:hideMark/>
          </w:tcPr>
          <w:p w14:paraId="0DD35D78"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0.736</w:t>
            </w:r>
          </w:p>
        </w:tc>
      </w:tr>
      <w:tr w:rsidR="00D8096A" w:rsidRPr="00B97698" w14:paraId="747EEF9E" w14:textId="77777777" w:rsidTr="00A053E4">
        <w:trPr>
          <w:trHeight w:val="271"/>
          <w:tblCellSpacing w:w="15" w:type="dxa"/>
        </w:trPr>
        <w:tc>
          <w:tcPr>
            <w:tcW w:w="0" w:type="auto"/>
            <w:tcBorders>
              <w:top w:val="single" w:sz="4" w:space="0" w:color="auto"/>
              <w:left w:val="single" w:sz="4" w:space="0" w:color="auto"/>
            </w:tcBorders>
            <w:vAlign w:val="center"/>
            <w:hideMark/>
          </w:tcPr>
          <w:p w14:paraId="50137672"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5 min</w:t>
            </w:r>
          </w:p>
        </w:tc>
        <w:tc>
          <w:tcPr>
            <w:tcW w:w="0" w:type="auto"/>
            <w:tcBorders>
              <w:top w:val="single" w:sz="4" w:space="0" w:color="auto"/>
            </w:tcBorders>
            <w:vAlign w:val="center"/>
            <w:hideMark/>
          </w:tcPr>
          <w:p w14:paraId="15B3E516"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6.86 ± 0.97</w:t>
            </w:r>
          </w:p>
        </w:tc>
        <w:tc>
          <w:tcPr>
            <w:tcW w:w="0" w:type="auto"/>
            <w:tcBorders>
              <w:top w:val="single" w:sz="4" w:space="0" w:color="auto"/>
            </w:tcBorders>
            <w:vAlign w:val="center"/>
            <w:hideMark/>
          </w:tcPr>
          <w:p w14:paraId="31682AA0"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7.12 ± 1.29</w:t>
            </w:r>
          </w:p>
        </w:tc>
        <w:tc>
          <w:tcPr>
            <w:tcW w:w="0" w:type="auto"/>
            <w:tcBorders>
              <w:top w:val="single" w:sz="4" w:space="0" w:color="auto"/>
              <w:right w:val="single" w:sz="4" w:space="0" w:color="auto"/>
            </w:tcBorders>
            <w:vAlign w:val="center"/>
            <w:hideMark/>
          </w:tcPr>
          <w:p w14:paraId="0438075B"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0.234</w:t>
            </w:r>
          </w:p>
        </w:tc>
      </w:tr>
      <w:tr w:rsidR="00D8096A" w:rsidRPr="00B97698" w14:paraId="23AA7F53" w14:textId="77777777" w:rsidTr="00A053E4">
        <w:trPr>
          <w:trHeight w:val="286"/>
          <w:tblCellSpacing w:w="15" w:type="dxa"/>
        </w:trPr>
        <w:tc>
          <w:tcPr>
            <w:tcW w:w="0" w:type="auto"/>
            <w:tcBorders>
              <w:top w:val="single" w:sz="4" w:space="0" w:color="auto"/>
              <w:left w:val="single" w:sz="4" w:space="0" w:color="auto"/>
            </w:tcBorders>
            <w:vAlign w:val="center"/>
            <w:hideMark/>
          </w:tcPr>
          <w:p w14:paraId="44BB7E21"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b/>
                <w:bCs/>
                <w:sz w:val="24"/>
                <w:szCs w:val="24"/>
                <w:lang w:val="en-US"/>
              </w:rPr>
              <w:t>Surfactant Administration</w:t>
            </w:r>
          </w:p>
        </w:tc>
        <w:tc>
          <w:tcPr>
            <w:tcW w:w="0" w:type="auto"/>
            <w:tcBorders>
              <w:top w:val="single" w:sz="4" w:space="0" w:color="auto"/>
            </w:tcBorders>
            <w:vAlign w:val="center"/>
            <w:hideMark/>
          </w:tcPr>
          <w:p w14:paraId="67E289E2"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16 (32.0%)</w:t>
            </w:r>
          </w:p>
        </w:tc>
        <w:tc>
          <w:tcPr>
            <w:tcW w:w="0" w:type="auto"/>
            <w:tcBorders>
              <w:top w:val="single" w:sz="4" w:space="0" w:color="auto"/>
            </w:tcBorders>
            <w:vAlign w:val="center"/>
            <w:hideMark/>
          </w:tcPr>
          <w:p w14:paraId="78D09165"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24 (48.0%)</w:t>
            </w:r>
          </w:p>
        </w:tc>
        <w:tc>
          <w:tcPr>
            <w:tcW w:w="0" w:type="auto"/>
            <w:tcBorders>
              <w:top w:val="single" w:sz="4" w:space="0" w:color="auto"/>
              <w:right w:val="single" w:sz="4" w:space="0" w:color="auto"/>
            </w:tcBorders>
            <w:vAlign w:val="center"/>
            <w:hideMark/>
          </w:tcPr>
          <w:p w14:paraId="7466B7EA"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0.056</w:t>
            </w:r>
          </w:p>
        </w:tc>
      </w:tr>
      <w:tr w:rsidR="00D8096A" w:rsidRPr="00B97698" w14:paraId="05D74E76" w14:textId="77777777" w:rsidTr="00A053E4">
        <w:trPr>
          <w:trHeight w:val="271"/>
          <w:tblCellSpacing w:w="15" w:type="dxa"/>
        </w:trPr>
        <w:tc>
          <w:tcPr>
            <w:tcW w:w="0" w:type="auto"/>
            <w:tcBorders>
              <w:top w:val="single" w:sz="4" w:space="0" w:color="auto"/>
              <w:left w:val="single" w:sz="4" w:space="0" w:color="auto"/>
            </w:tcBorders>
            <w:vAlign w:val="center"/>
            <w:hideMark/>
          </w:tcPr>
          <w:p w14:paraId="5EE35B9B"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b/>
                <w:bCs/>
                <w:sz w:val="24"/>
                <w:szCs w:val="24"/>
                <w:lang w:val="en-US"/>
              </w:rPr>
              <w:t>Consanguinity</w:t>
            </w:r>
          </w:p>
        </w:tc>
        <w:tc>
          <w:tcPr>
            <w:tcW w:w="0" w:type="auto"/>
            <w:tcBorders>
              <w:top w:val="single" w:sz="4" w:space="0" w:color="auto"/>
            </w:tcBorders>
            <w:vAlign w:val="center"/>
            <w:hideMark/>
          </w:tcPr>
          <w:p w14:paraId="533E3BF3"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c>
          <w:tcPr>
            <w:tcW w:w="0" w:type="auto"/>
            <w:tcBorders>
              <w:top w:val="single" w:sz="4" w:space="0" w:color="auto"/>
            </w:tcBorders>
            <w:vAlign w:val="center"/>
            <w:hideMark/>
          </w:tcPr>
          <w:p w14:paraId="158EAFAC"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c>
          <w:tcPr>
            <w:tcW w:w="0" w:type="auto"/>
            <w:tcBorders>
              <w:top w:val="single" w:sz="4" w:space="0" w:color="auto"/>
              <w:right w:val="single" w:sz="4" w:space="0" w:color="auto"/>
            </w:tcBorders>
            <w:vAlign w:val="center"/>
            <w:hideMark/>
          </w:tcPr>
          <w:p w14:paraId="1DF61D86"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0.277</w:t>
            </w:r>
          </w:p>
        </w:tc>
      </w:tr>
      <w:tr w:rsidR="00D8096A" w:rsidRPr="00B97698" w14:paraId="081A0E7C" w14:textId="77777777" w:rsidTr="00A053E4">
        <w:trPr>
          <w:trHeight w:val="286"/>
          <w:tblCellSpacing w:w="15" w:type="dxa"/>
        </w:trPr>
        <w:tc>
          <w:tcPr>
            <w:tcW w:w="0" w:type="auto"/>
            <w:tcBorders>
              <w:top w:val="single" w:sz="4" w:space="0" w:color="auto"/>
              <w:left w:val="single" w:sz="4" w:space="0" w:color="auto"/>
            </w:tcBorders>
            <w:vAlign w:val="center"/>
            <w:hideMark/>
          </w:tcPr>
          <w:p w14:paraId="2FE9C1DC"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Yes</w:t>
            </w:r>
          </w:p>
        </w:tc>
        <w:tc>
          <w:tcPr>
            <w:tcW w:w="0" w:type="auto"/>
            <w:tcBorders>
              <w:top w:val="single" w:sz="4" w:space="0" w:color="auto"/>
            </w:tcBorders>
            <w:vAlign w:val="center"/>
            <w:hideMark/>
          </w:tcPr>
          <w:p w14:paraId="35BEE938"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26 (52.0%)</w:t>
            </w:r>
          </w:p>
        </w:tc>
        <w:tc>
          <w:tcPr>
            <w:tcW w:w="0" w:type="auto"/>
            <w:tcBorders>
              <w:top w:val="single" w:sz="4" w:space="0" w:color="auto"/>
            </w:tcBorders>
            <w:vAlign w:val="center"/>
            <w:hideMark/>
          </w:tcPr>
          <w:p w14:paraId="7805CA14"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19 (38.0%)</w:t>
            </w:r>
          </w:p>
        </w:tc>
        <w:tc>
          <w:tcPr>
            <w:tcW w:w="0" w:type="auto"/>
            <w:tcBorders>
              <w:top w:val="single" w:sz="4" w:space="0" w:color="auto"/>
              <w:right w:val="single" w:sz="4" w:space="0" w:color="auto"/>
            </w:tcBorders>
            <w:vAlign w:val="center"/>
            <w:hideMark/>
          </w:tcPr>
          <w:p w14:paraId="11265F13"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r>
      <w:tr w:rsidR="00D8096A" w:rsidRPr="00B97698" w14:paraId="30EA4B01" w14:textId="77777777" w:rsidTr="00A053E4">
        <w:trPr>
          <w:trHeight w:val="271"/>
          <w:tblCellSpacing w:w="15" w:type="dxa"/>
        </w:trPr>
        <w:tc>
          <w:tcPr>
            <w:tcW w:w="0" w:type="auto"/>
            <w:tcBorders>
              <w:top w:val="single" w:sz="4" w:space="0" w:color="auto"/>
              <w:left w:val="single" w:sz="4" w:space="0" w:color="auto"/>
            </w:tcBorders>
            <w:vAlign w:val="center"/>
            <w:hideMark/>
          </w:tcPr>
          <w:p w14:paraId="6AAA4F76"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No</w:t>
            </w:r>
          </w:p>
        </w:tc>
        <w:tc>
          <w:tcPr>
            <w:tcW w:w="0" w:type="auto"/>
            <w:tcBorders>
              <w:top w:val="single" w:sz="4" w:space="0" w:color="auto"/>
            </w:tcBorders>
            <w:vAlign w:val="center"/>
            <w:hideMark/>
          </w:tcPr>
          <w:p w14:paraId="22B74659"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24 (48.0%)</w:t>
            </w:r>
          </w:p>
        </w:tc>
        <w:tc>
          <w:tcPr>
            <w:tcW w:w="0" w:type="auto"/>
            <w:tcBorders>
              <w:top w:val="single" w:sz="4" w:space="0" w:color="auto"/>
            </w:tcBorders>
            <w:vAlign w:val="center"/>
            <w:hideMark/>
          </w:tcPr>
          <w:p w14:paraId="6C128E0F"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31 (62.0%)</w:t>
            </w:r>
          </w:p>
        </w:tc>
        <w:tc>
          <w:tcPr>
            <w:tcW w:w="0" w:type="auto"/>
            <w:tcBorders>
              <w:top w:val="single" w:sz="4" w:space="0" w:color="auto"/>
              <w:right w:val="single" w:sz="4" w:space="0" w:color="auto"/>
            </w:tcBorders>
            <w:vAlign w:val="center"/>
            <w:hideMark/>
          </w:tcPr>
          <w:p w14:paraId="1EE0CB77"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r>
      <w:tr w:rsidR="00D8096A" w:rsidRPr="00B97698" w14:paraId="5682C387" w14:textId="77777777" w:rsidTr="00A053E4">
        <w:trPr>
          <w:trHeight w:val="271"/>
          <w:tblCellSpacing w:w="15" w:type="dxa"/>
        </w:trPr>
        <w:tc>
          <w:tcPr>
            <w:tcW w:w="0" w:type="auto"/>
            <w:tcBorders>
              <w:top w:val="single" w:sz="4" w:space="0" w:color="auto"/>
              <w:left w:val="single" w:sz="4" w:space="0" w:color="auto"/>
            </w:tcBorders>
            <w:vAlign w:val="center"/>
            <w:hideMark/>
          </w:tcPr>
          <w:p w14:paraId="274C36BD"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b/>
                <w:bCs/>
                <w:sz w:val="24"/>
                <w:szCs w:val="24"/>
                <w:lang w:val="en-US"/>
              </w:rPr>
              <w:t>Maternal Age (years)</w:t>
            </w:r>
          </w:p>
        </w:tc>
        <w:tc>
          <w:tcPr>
            <w:tcW w:w="0" w:type="auto"/>
            <w:tcBorders>
              <w:top w:val="single" w:sz="4" w:space="0" w:color="auto"/>
            </w:tcBorders>
            <w:vAlign w:val="center"/>
            <w:hideMark/>
          </w:tcPr>
          <w:p w14:paraId="31DCAE2D"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27.46 ± 5.33</w:t>
            </w:r>
          </w:p>
        </w:tc>
        <w:tc>
          <w:tcPr>
            <w:tcW w:w="0" w:type="auto"/>
            <w:tcBorders>
              <w:top w:val="single" w:sz="4" w:space="0" w:color="auto"/>
            </w:tcBorders>
            <w:vAlign w:val="center"/>
            <w:hideMark/>
          </w:tcPr>
          <w:p w14:paraId="7A12D30E"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26.32 ± 5.36</w:t>
            </w:r>
          </w:p>
        </w:tc>
        <w:tc>
          <w:tcPr>
            <w:tcW w:w="0" w:type="auto"/>
            <w:tcBorders>
              <w:top w:val="single" w:sz="4" w:space="0" w:color="auto"/>
              <w:right w:val="single" w:sz="4" w:space="0" w:color="auto"/>
            </w:tcBorders>
            <w:vAlign w:val="center"/>
            <w:hideMark/>
          </w:tcPr>
          <w:p w14:paraId="3F37B0B4"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0.288</w:t>
            </w:r>
          </w:p>
        </w:tc>
      </w:tr>
      <w:tr w:rsidR="00D8096A" w:rsidRPr="00B97698" w14:paraId="38C37C25" w14:textId="77777777" w:rsidTr="00A053E4">
        <w:trPr>
          <w:trHeight w:val="286"/>
          <w:tblCellSpacing w:w="15" w:type="dxa"/>
        </w:trPr>
        <w:tc>
          <w:tcPr>
            <w:tcW w:w="0" w:type="auto"/>
            <w:tcBorders>
              <w:top w:val="single" w:sz="4" w:space="0" w:color="auto"/>
              <w:left w:val="single" w:sz="4" w:space="0" w:color="auto"/>
              <w:bottom w:val="single" w:sz="4" w:space="0" w:color="auto"/>
            </w:tcBorders>
            <w:vAlign w:val="center"/>
            <w:hideMark/>
          </w:tcPr>
          <w:p w14:paraId="7193FF96"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b/>
                <w:bCs/>
                <w:sz w:val="24"/>
                <w:szCs w:val="24"/>
                <w:lang w:val="en-US"/>
              </w:rPr>
              <w:t>Parity</w:t>
            </w:r>
          </w:p>
        </w:tc>
        <w:tc>
          <w:tcPr>
            <w:tcW w:w="0" w:type="auto"/>
            <w:tcBorders>
              <w:top w:val="single" w:sz="4" w:space="0" w:color="auto"/>
              <w:bottom w:val="single" w:sz="4" w:space="0" w:color="auto"/>
            </w:tcBorders>
            <w:vAlign w:val="center"/>
            <w:hideMark/>
          </w:tcPr>
          <w:p w14:paraId="55C10CC2"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c>
          <w:tcPr>
            <w:tcW w:w="0" w:type="auto"/>
            <w:tcBorders>
              <w:top w:val="single" w:sz="4" w:space="0" w:color="auto"/>
              <w:bottom w:val="single" w:sz="4" w:space="0" w:color="auto"/>
            </w:tcBorders>
            <w:vAlign w:val="center"/>
            <w:hideMark/>
          </w:tcPr>
          <w:p w14:paraId="6A1364A3"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c>
          <w:tcPr>
            <w:tcW w:w="0" w:type="auto"/>
            <w:tcBorders>
              <w:top w:val="single" w:sz="4" w:space="0" w:color="auto"/>
              <w:bottom w:val="single" w:sz="4" w:space="0" w:color="auto"/>
              <w:right w:val="single" w:sz="4" w:space="0" w:color="auto"/>
            </w:tcBorders>
            <w:vAlign w:val="center"/>
            <w:hideMark/>
          </w:tcPr>
          <w:p w14:paraId="0508AC37"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0.946</w:t>
            </w:r>
          </w:p>
        </w:tc>
      </w:tr>
      <w:tr w:rsidR="00D8096A" w:rsidRPr="00B97698" w14:paraId="777B6FFB" w14:textId="77777777" w:rsidTr="00A053E4">
        <w:trPr>
          <w:trHeight w:val="271"/>
          <w:tblCellSpacing w:w="15" w:type="dxa"/>
        </w:trPr>
        <w:tc>
          <w:tcPr>
            <w:tcW w:w="0" w:type="auto"/>
            <w:tcBorders>
              <w:left w:val="single" w:sz="4" w:space="0" w:color="auto"/>
            </w:tcBorders>
            <w:vAlign w:val="center"/>
            <w:hideMark/>
          </w:tcPr>
          <w:p w14:paraId="3E7E59D4"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Single</w:t>
            </w:r>
          </w:p>
        </w:tc>
        <w:tc>
          <w:tcPr>
            <w:tcW w:w="0" w:type="auto"/>
            <w:vAlign w:val="center"/>
            <w:hideMark/>
          </w:tcPr>
          <w:p w14:paraId="1048F14F"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21 (42.0%)</w:t>
            </w:r>
          </w:p>
        </w:tc>
        <w:tc>
          <w:tcPr>
            <w:tcW w:w="0" w:type="auto"/>
            <w:vAlign w:val="center"/>
            <w:hideMark/>
          </w:tcPr>
          <w:p w14:paraId="595E2EA0"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25 (50.0%)</w:t>
            </w:r>
          </w:p>
        </w:tc>
        <w:tc>
          <w:tcPr>
            <w:tcW w:w="0" w:type="auto"/>
            <w:tcBorders>
              <w:right w:val="single" w:sz="4" w:space="0" w:color="auto"/>
            </w:tcBorders>
            <w:vAlign w:val="center"/>
            <w:hideMark/>
          </w:tcPr>
          <w:p w14:paraId="0D2FA28B"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r>
      <w:tr w:rsidR="00D8096A" w:rsidRPr="00B97698" w14:paraId="4CC5B43B" w14:textId="77777777" w:rsidTr="00A053E4">
        <w:trPr>
          <w:trHeight w:val="286"/>
          <w:tblCellSpacing w:w="15" w:type="dxa"/>
        </w:trPr>
        <w:tc>
          <w:tcPr>
            <w:tcW w:w="0" w:type="auto"/>
            <w:tcBorders>
              <w:top w:val="single" w:sz="4" w:space="0" w:color="auto"/>
              <w:left w:val="single" w:sz="4" w:space="0" w:color="auto"/>
            </w:tcBorders>
            <w:vAlign w:val="center"/>
            <w:hideMark/>
          </w:tcPr>
          <w:p w14:paraId="5583E6F2"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Multiple</w:t>
            </w:r>
          </w:p>
        </w:tc>
        <w:tc>
          <w:tcPr>
            <w:tcW w:w="0" w:type="auto"/>
            <w:tcBorders>
              <w:top w:val="single" w:sz="4" w:space="0" w:color="auto"/>
            </w:tcBorders>
            <w:vAlign w:val="center"/>
            <w:hideMark/>
          </w:tcPr>
          <w:p w14:paraId="403FA802"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29 (58.0%)</w:t>
            </w:r>
          </w:p>
        </w:tc>
        <w:tc>
          <w:tcPr>
            <w:tcW w:w="0" w:type="auto"/>
            <w:tcBorders>
              <w:top w:val="single" w:sz="4" w:space="0" w:color="auto"/>
            </w:tcBorders>
            <w:vAlign w:val="center"/>
            <w:hideMark/>
          </w:tcPr>
          <w:p w14:paraId="651D2340"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25 (50.0%)</w:t>
            </w:r>
          </w:p>
        </w:tc>
        <w:tc>
          <w:tcPr>
            <w:tcW w:w="0" w:type="auto"/>
            <w:tcBorders>
              <w:top w:val="single" w:sz="4" w:space="0" w:color="auto"/>
              <w:right w:val="single" w:sz="4" w:space="0" w:color="auto"/>
            </w:tcBorders>
            <w:vAlign w:val="center"/>
            <w:hideMark/>
          </w:tcPr>
          <w:p w14:paraId="29DE35E1"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r>
      <w:tr w:rsidR="00D8096A" w:rsidRPr="00B97698" w14:paraId="61F4BEE9" w14:textId="77777777" w:rsidTr="00A053E4">
        <w:trPr>
          <w:trHeight w:val="271"/>
          <w:tblCellSpacing w:w="15" w:type="dxa"/>
        </w:trPr>
        <w:tc>
          <w:tcPr>
            <w:tcW w:w="0" w:type="auto"/>
            <w:tcBorders>
              <w:top w:val="single" w:sz="4" w:space="0" w:color="auto"/>
              <w:left w:val="single" w:sz="4" w:space="0" w:color="auto"/>
              <w:bottom w:val="single" w:sz="4" w:space="0" w:color="auto"/>
            </w:tcBorders>
            <w:vAlign w:val="center"/>
            <w:hideMark/>
          </w:tcPr>
          <w:p w14:paraId="57A01DD0"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b/>
                <w:bCs/>
                <w:sz w:val="24"/>
                <w:szCs w:val="24"/>
                <w:lang w:val="en-US"/>
              </w:rPr>
              <w:t>Antenatal Steroid Use</w:t>
            </w:r>
          </w:p>
        </w:tc>
        <w:tc>
          <w:tcPr>
            <w:tcW w:w="0" w:type="auto"/>
            <w:tcBorders>
              <w:top w:val="single" w:sz="4" w:space="0" w:color="auto"/>
              <w:bottom w:val="single" w:sz="4" w:space="0" w:color="auto"/>
            </w:tcBorders>
            <w:vAlign w:val="center"/>
            <w:hideMark/>
          </w:tcPr>
          <w:p w14:paraId="34A4A15C"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c>
          <w:tcPr>
            <w:tcW w:w="0" w:type="auto"/>
            <w:tcBorders>
              <w:top w:val="single" w:sz="4" w:space="0" w:color="auto"/>
              <w:bottom w:val="single" w:sz="4" w:space="0" w:color="auto"/>
            </w:tcBorders>
            <w:vAlign w:val="center"/>
            <w:hideMark/>
          </w:tcPr>
          <w:p w14:paraId="2ACF165F"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c>
          <w:tcPr>
            <w:tcW w:w="0" w:type="auto"/>
            <w:tcBorders>
              <w:top w:val="single" w:sz="4" w:space="0" w:color="auto"/>
              <w:bottom w:val="single" w:sz="4" w:space="0" w:color="auto"/>
              <w:right w:val="single" w:sz="4" w:space="0" w:color="auto"/>
            </w:tcBorders>
            <w:vAlign w:val="center"/>
            <w:hideMark/>
          </w:tcPr>
          <w:p w14:paraId="659A0D15"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0.097</w:t>
            </w:r>
          </w:p>
        </w:tc>
      </w:tr>
      <w:tr w:rsidR="00D8096A" w:rsidRPr="00B97698" w14:paraId="704D560D" w14:textId="77777777" w:rsidTr="00A053E4">
        <w:trPr>
          <w:trHeight w:val="271"/>
          <w:tblCellSpacing w:w="15" w:type="dxa"/>
        </w:trPr>
        <w:tc>
          <w:tcPr>
            <w:tcW w:w="0" w:type="auto"/>
            <w:tcBorders>
              <w:left w:val="single" w:sz="4" w:space="0" w:color="auto"/>
            </w:tcBorders>
            <w:vAlign w:val="center"/>
            <w:hideMark/>
          </w:tcPr>
          <w:p w14:paraId="054CDA26"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Yes</w:t>
            </w:r>
          </w:p>
        </w:tc>
        <w:tc>
          <w:tcPr>
            <w:tcW w:w="0" w:type="auto"/>
            <w:vAlign w:val="center"/>
            <w:hideMark/>
          </w:tcPr>
          <w:p w14:paraId="70598DB0"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11 (22.0%)</w:t>
            </w:r>
          </w:p>
        </w:tc>
        <w:tc>
          <w:tcPr>
            <w:tcW w:w="0" w:type="auto"/>
            <w:vAlign w:val="center"/>
            <w:hideMark/>
          </w:tcPr>
          <w:p w14:paraId="369D8762"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9 (18.0%)</w:t>
            </w:r>
          </w:p>
        </w:tc>
        <w:tc>
          <w:tcPr>
            <w:tcW w:w="0" w:type="auto"/>
            <w:tcBorders>
              <w:right w:val="single" w:sz="4" w:space="0" w:color="auto"/>
            </w:tcBorders>
            <w:vAlign w:val="center"/>
            <w:hideMark/>
          </w:tcPr>
          <w:p w14:paraId="545F8A66"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r>
      <w:tr w:rsidR="00D8096A" w:rsidRPr="00B97698" w14:paraId="52E912C9" w14:textId="77777777" w:rsidTr="00A053E4">
        <w:trPr>
          <w:trHeight w:val="286"/>
          <w:tblCellSpacing w:w="15" w:type="dxa"/>
        </w:trPr>
        <w:tc>
          <w:tcPr>
            <w:tcW w:w="0" w:type="auto"/>
            <w:tcBorders>
              <w:top w:val="single" w:sz="4" w:space="0" w:color="auto"/>
              <w:left w:val="single" w:sz="4" w:space="0" w:color="auto"/>
              <w:bottom w:val="single" w:sz="4" w:space="0" w:color="auto"/>
            </w:tcBorders>
            <w:vAlign w:val="center"/>
            <w:hideMark/>
          </w:tcPr>
          <w:p w14:paraId="61EB193F"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No</w:t>
            </w:r>
          </w:p>
        </w:tc>
        <w:tc>
          <w:tcPr>
            <w:tcW w:w="0" w:type="auto"/>
            <w:tcBorders>
              <w:top w:val="single" w:sz="4" w:space="0" w:color="auto"/>
              <w:bottom w:val="single" w:sz="4" w:space="0" w:color="auto"/>
            </w:tcBorders>
            <w:vAlign w:val="center"/>
            <w:hideMark/>
          </w:tcPr>
          <w:p w14:paraId="13346EB7"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39 (78.0%)</w:t>
            </w:r>
          </w:p>
        </w:tc>
        <w:tc>
          <w:tcPr>
            <w:tcW w:w="0" w:type="auto"/>
            <w:tcBorders>
              <w:top w:val="single" w:sz="4" w:space="0" w:color="auto"/>
              <w:bottom w:val="single" w:sz="4" w:space="0" w:color="auto"/>
            </w:tcBorders>
            <w:vAlign w:val="center"/>
            <w:hideMark/>
          </w:tcPr>
          <w:p w14:paraId="5D881A60"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41 (82.0%)</w:t>
            </w:r>
          </w:p>
        </w:tc>
        <w:tc>
          <w:tcPr>
            <w:tcW w:w="0" w:type="auto"/>
            <w:tcBorders>
              <w:top w:val="single" w:sz="4" w:space="0" w:color="auto"/>
              <w:bottom w:val="single" w:sz="4" w:space="0" w:color="auto"/>
              <w:right w:val="single" w:sz="4" w:space="0" w:color="auto"/>
            </w:tcBorders>
            <w:vAlign w:val="center"/>
            <w:hideMark/>
          </w:tcPr>
          <w:p w14:paraId="4968C20C"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r>
      <w:tr w:rsidR="00D8096A" w:rsidRPr="00B97698" w14:paraId="09004FD7" w14:textId="77777777" w:rsidTr="00A053E4">
        <w:trPr>
          <w:trHeight w:val="271"/>
          <w:tblCellSpacing w:w="15" w:type="dxa"/>
        </w:trPr>
        <w:tc>
          <w:tcPr>
            <w:tcW w:w="0" w:type="auto"/>
            <w:tcBorders>
              <w:left w:val="single" w:sz="4" w:space="0" w:color="auto"/>
            </w:tcBorders>
            <w:vAlign w:val="center"/>
            <w:hideMark/>
          </w:tcPr>
          <w:p w14:paraId="52828D59"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b/>
                <w:bCs/>
                <w:sz w:val="24"/>
                <w:szCs w:val="24"/>
                <w:lang w:val="en-US"/>
              </w:rPr>
              <w:t>Maternal Risk Factors</w:t>
            </w:r>
          </w:p>
        </w:tc>
        <w:tc>
          <w:tcPr>
            <w:tcW w:w="0" w:type="auto"/>
            <w:vAlign w:val="center"/>
            <w:hideMark/>
          </w:tcPr>
          <w:p w14:paraId="7575717C"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c>
          <w:tcPr>
            <w:tcW w:w="0" w:type="auto"/>
            <w:vAlign w:val="center"/>
            <w:hideMark/>
          </w:tcPr>
          <w:p w14:paraId="358FA04D"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c>
          <w:tcPr>
            <w:tcW w:w="0" w:type="auto"/>
            <w:tcBorders>
              <w:right w:val="single" w:sz="4" w:space="0" w:color="auto"/>
            </w:tcBorders>
            <w:vAlign w:val="center"/>
            <w:hideMark/>
          </w:tcPr>
          <w:p w14:paraId="6205865C"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p>
        </w:tc>
      </w:tr>
      <w:tr w:rsidR="00D8096A" w:rsidRPr="00B97698" w14:paraId="4D476CCF" w14:textId="77777777" w:rsidTr="00A053E4">
        <w:trPr>
          <w:trHeight w:val="286"/>
          <w:tblCellSpacing w:w="15" w:type="dxa"/>
        </w:trPr>
        <w:tc>
          <w:tcPr>
            <w:tcW w:w="0" w:type="auto"/>
            <w:tcBorders>
              <w:top w:val="single" w:sz="4" w:space="0" w:color="auto"/>
              <w:left w:val="single" w:sz="4" w:space="0" w:color="auto"/>
              <w:bottom w:val="single" w:sz="4" w:space="0" w:color="auto"/>
            </w:tcBorders>
            <w:vAlign w:val="center"/>
            <w:hideMark/>
          </w:tcPr>
          <w:p w14:paraId="6C03AB77"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Preeclampsia</w:t>
            </w:r>
          </w:p>
        </w:tc>
        <w:tc>
          <w:tcPr>
            <w:tcW w:w="0" w:type="auto"/>
            <w:tcBorders>
              <w:top w:val="single" w:sz="4" w:space="0" w:color="auto"/>
              <w:bottom w:val="single" w:sz="4" w:space="0" w:color="auto"/>
            </w:tcBorders>
            <w:vAlign w:val="center"/>
            <w:hideMark/>
          </w:tcPr>
          <w:p w14:paraId="63D5F58E"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25 (50.0%)</w:t>
            </w:r>
          </w:p>
        </w:tc>
        <w:tc>
          <w:tcPr>
            <w:tcW w:w="0" w:type="auto"/>
            <w:tcBorders>
              <w:top w:val="single" w:sz="4" w:space="0" w:color="auto"/>
              <w:bottom w:val="single" w:sz="4" w:space="0" w:color="auto"/>
            </w:tcBorders>
            <w:vAlign w:val="center"/>
            <w:hideMark/>
          </w:tcPr>
          <w:p w14:paraId="223A360F"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20 (40.0%)</w:t>
            </w:r>
          </w:p>
        </w:tc>
        <w:tc>
          <w:tcPr>
            <w:tcW w:w="0" w:type="auto"/>
            <w:tcBorders>
              <w:top w:val="single" w:sz="4" w:space="0" w:color="auto"/>
              <w:bottom w:val="single" w:sz="4" w:space="0" w:color="auto"/>
              <w:right w:val="single" w:sz="4" w:space="0" w:color="auto"/>
            </w:tcBorders>
            <w:vAlign w:val="center"/>
            <w:hideMark/>
          </w:tcPr>
          <w:p w14:paraId="2E389F63"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0.315</w:t>
            </w:r>
          </w:p>
        </w:tc>
      </w:tr>
      <w:tr w:rsidR="00D8096A" w:rsidRPr="00B97698" w14:paraId="16DF9D34" w14:textId="77777777" w:rsidTr="00A053E4">
        <w:trPr>
          <w:trHeight w:val="271"/>
          <w:tblCellSpacing w:w="15" w:type="dxa"/>
        </w:trPr>
        <w:tc>
          <w:tcPr>
            <w:tcW w:w="0" w:type="auto"/>
            <w:tcBorders>
              <w:left w:val="single" w:sz="4" w:space="0" w:color="auto"/>
            </w:tcBorders>
            <w:vAlign w:val="center"/>
            <w:hideMark/>
          </w:tcPr>
          <w:p w14:paraId="482624DB"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Chorioamnionitis</w:t>
            </w:r>
          </w:p>
        </w:tc>
        <w:tc>
          <w:tcPr>
            <w:tcW w:w="0" w:type="auto"/>
            <w:vAlign w:val="center"/>
            <w:hideMark/>
          </w:tcPr>
          <w:p w14:paraId="7A60AF5C"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12 (24.0%)</w:t>
            </w:r>
          </w:p>
        </w:tc>
        <w:tc>
          <w:tcPr>
            <w:tcW w:w="0" w:type="auto"/>
            <w:vAlign w:val="center"/>
            <w:hideMark/>
          </w:tcPr>
          <w:p w14:paraId="6A345966"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10 (20.0%)</w:t>
            </w:r>
          </w:p>
        </w:tc>
        <w:tc>
          <w:tcPr>
            <w:tcW w:w="0" w:type="auto"/>
            <w:tcBorders>
              <w:right w:val="single" w:sz="4" w:space="0" w:color="auto"/>
            </w:tcBorders>
            <w:vAlign w:val="center"/>
            <w:hideMark/>
          </w:tcPr>
          <w:p w14:paraId="75569D5B"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0.629</w:t>
            </w:r>
          </w:p>
        </w:tc>
      </w:tr>
      <w:tr w:rsidR="00D8096A" w:rsidRPr="00B97698" w14:paraId="0D2F1AD7" w14:textId="77777777" w:rsidTr="00A053E4">
        <w:trPr>
          <w:trHeight w:val="271"/>
          <w:tblCellSpacing w:w="15" w:type="dxa"/>
        </w:trPr>
        <w:tc>
          <w:tcPr>
            <w:tcW w:w="0" w:type="auto"/>
            <w:tcBorders>
              <w:top w:val="single" w:sz="4" w:space="0" w:color="auto"/>
              <w:left w:val="single" w:sz="4" w:space="0" w:color="auto"/>
              <w:bottom w:val="single" w:sz="4" w:space="0" w:color="auto"/>
            </w:tcBorders>
            <w:vAlign w:val="center"/>
            <w:hideMark/>
          </w:tcPr>
          <w:p w14:paraId="1B9E9202"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Anemia</w:t>
            </w:r>
          </w:p>
        </w:tc>
        <w:tc>
          <w:tcPr>
            <w:tcW w:w="0" w:type="auto"/>
            <w:tcBorders>
              <w:top w:val="single" w:sz="4" w:space="0" w:color="auto"/>
              <w:bottom w:val="single" w:sz="4" w:space="0" w:color="auto"/>
            </w:tcBorders>
            <w:vAlign w:val="center"/>
            <w:hideMark/>
          </w:tcPr>
          <w:p w14:paraId="2D542075"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10 (20.0%)</w:t>
            </w:r>
          </w:p>
        </w:tc>
        <w:tc>
          <w:tcPr>
            <w:tcW w:w="0" w:type="auto"/>
            <w:tcBorders>
              <w:top w:val="single" w:sz="4" w:space="0" w:color="auto"/>
              <w:bottom w:val="single" w:sz="4" w:space="0" w:color="auto"/>
            </w:tcBorders>
            <w:vAlign w:val="center"/>
            <w:hideMark/>
          </w:tcPr>
          <w:p w14:paraId="0F6DF828"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15 (30.0%)</w:t>
            </w:r>
          </w:p>
        </w:tc>
        <w:tc>
          <w:tcPr>
            <w:tcW w:w="0" w:type="auto"/>
            <w:tcBorders>
              <w:top w:val="single" w:sz="4" w:space="0" w:color="auto"/>
              <w:bottom w:val="single" w:sz="4" w:space="0" w:color="auto"/>
              <w:right w:val="single" w:sz="4" w:space="0" w:color="auto"/>
            </w:tcBorders>
            <w:vAlign w:val="center"/>
            <w:hideMark/>
          </w:tcPr>
          <w:p w14:paraId="08D5CD3C"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0.248</w:t>
            </w:r>
          </w:p>
        </w:tc>
      </w:tr>
      <w:tr w:rsidR="00D8096A" w:rsidRPr="00B97698" w14:paraId="745BA914" w14:textId="77777777" w:rsidTr="00A053E4">
        <w:trPr>
          <w:trHeight w:val="271"/>
          <w:tblCellSpacing w:w="15" w:type="dxa"/>
        </w:trPr>
        <w:tc>
          <w:tcPr>
            <w:tcW w:w="0" w:type="auto"/>
            <w:tcBorders>
              <w:left w:val="single" w:sz="4" w:space="0" w:color="auto"/>
              <w:bottom w:val="single" w:sz="4" w:space="0" w:color="auto"/>
            </w:tcBorders>
            <w:vAlign w:val="center"/>
            <w:hideMark/>
          </w:tcPr>
          <w:p w14:paraId="63256BBE"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PROM</w:t>
            </w:r>
          </w:p>
        </w:tc>
        <w:tc>
          <w:tcPr>
            <w:tcW w:w="0" w:type="auto"/>
            <w:tcBorders>
              <w:bottom w:val="single" w:sz="4" w:space="0" w:color="auto"/>
            </w:tcBorders>
            <w:vAlign w:val="center"/>
            <w:hideMark/>
          </w:tcPr>
          <w:p w14:paraId="2DA3365C"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3 (6.0%)</w:t>
            </w:r>
          </w:p>
        </w:tc>
        <w:tc>
          <w:tcPr>
            <w:tcW w:w="0" w:type="auto"/>
            <w:tcBorders>
              <w:bottom w:val="single" w:sz="4" w:space="0" w:color="auto"/>
            </w:tcBorders>
            <w:vAlign w:val="center"/>
            <w:hideMark/>
          </w:tcPr>
          <w:p w14:paraId="69693532"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 (4.0%)</w:t>
            </w:r>
          </w:p>
        </w:tc>
        <w:tc>
          <w:tcPr>
            <w:tcW w:w="0" w:type="auto"/>
            <w:tcBorders>
              <w:bottom w:val="single" w:sz="4" w:space="0" w:color="auto"/>
              <w:right w:val="single" w:sz="4" w:space="0" w:color="auto"/>
            </w:tcBorders>
            <w:vAlign w:val="center"/>
            <w:hideMark/>
          </w:tcPr>
          <w:p w14:paraId="042AADD6"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0.646</w:t>
            </w:r>
          </w:p>
        </w:tc>
      </w:tr>
      <w:tr w:rsidR="00D8096A" w:rsidRPr="00B97698" w14:paraId="13F00E40" w14:textId="77777777" w:rsidTr="00A053E4">
        <w:trPr>
          <w:trHeight w:val="286"/>
          <w:tblCellSpacing w:w="15" w:type="dxa"/>
        </w:trPr>
        <w:tc>
          <w:tcPr>
            <w:tcW w:w="0" w:type="auto"/>
            <w:tcBorders>
              <w:left w:val="single" w:sz="4" w:space="0" w:color="auto"/>
              <w:bottom w:val="single" w:sz="4" w:space="0" w:color="auto"/>
            </w:tcBorders>
            <w:vAlign w:val="center"/>
            <w:hideMark/>
          </w:tcPr>
          <w:p w14:paraId="7B726943"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Gestational Diabetes</w:t>
            </w:r>
          </w:p>
        </w:tc>
        <w:tc>
          <w:tcPr>
            <w:tcW w:w="0" w:type="auto"/>
            <w:tcBorders>
              <w:bottom w:val="single" w:sz="4" w:space="0" w:color="auto"/>
            </w:tcBorders>
            <w:vAlign w:val="center"/>
            <w:hideMark/>
          </w:tcPr>
          <w:p w14:paraId="6F3D1910"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2 (4.0%)</w:t>
            </w:r>
          </w:p>
        </w:tc>
        <w:tc>
          <w:tcPr>
            <w:tcW w:w="0" w:type="auto"/>
            <w:tcBorders>
              <w:bottom w:val="single" w:sz="4" w:space="0" w:color="auto"/>
            </w:tcBorders>
            <w:vAlign w:val="center"/>
            <w:hideMark/>
          </w:tcPr>
          <w:p w14:paraId="15F7600B"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3 (6.0%)</w:t>
            </w:r>
          </w:p>
        </w:tc>
        <w:tc>
          <w:tcPr>
            <w:tcW w:w="0" w:type="auto"/>
            <w:tcBorders>
              <w:bottom w:val="single" w:sz="4" w:space="0" w:color="auto"/>
              <w:right w:val="single" w:sz="4" w:space="0" w:color="auto"/>
            </w:tcBorders>
            <w:vAlign w:val="center"/>
            <w:hideMark/>
          </w:tcPr>
          <w:p w14:paraId="4E2C48C2"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0.646</w:t>
            </w:r>
          </w:p>
        </w:tc>
      </w:tr>
      <w:tr w:rsidR="00D8096A" w:rsidRPr="00B97698" w14:paraId="193D1493" w14:textId="77777777" w:rsidTr="00A053E4">
        <w:trPr>
          <w:trHeight w:val="271"/>
          <w:tblCellSpacing w:w="15" w:type="dxa"/>
        </w:trPr>
        <w:tc>
          <w:tcPr>
            <w:tcW w:w="0" w:type="auto"/>
            <w:tcBorders>
              <w:left w:val="single" w:sz="4" w:space="0" w:color="auto"/>
              <w:bottom w:val="single" w:sz="4" w:space="0" w:color="auto"/>
            </w:tcBorders>
            <w:vAlign w:val="center"/>
            <w:hideMark/>
          </w:tcPr>
          <w:p w14:paraId="7B5F6392"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Placenta Previa</w:t>
            </w:r>
          </w:p>
        </w:tc>
        <w:tc>
          <w:tcPr>
            <w:tcW w:w="0" w:type="auto"/>
            <w:tcBorders>
              <w:bottom w:val="single" w:sz="4" w:space="0" w:color="auto"/>
            </w:tcBorders>
            <w:vAlign w:val="center"/>
            <w:hideMark/>
          </w:tcPr>
          <w:p w14:paraId="157BCC55"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 (0.0%)</w:t>
            </w:r>
          </w:p>
        </w:tc>
        <w:tc>
          <w:tcPr>
            <w:tcW w:w="0" w:type="auto"/>
            <w:tcBorders>
              <w:bottom w:val="single" w:sz="4" w:space="0" w:color="auto"/>
            </w:tcBorders>
            <w:vAlign w:val="center"/>
            <w:hideMark/>
          </w:tcPr>
          <w:p w14:paraId="495A88C2"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 (2.0%)</w:t>
            </w:r>
          </w:p>
        </w:tc>
        <w:tc>
          <w:tcPr>
            <w:tcW w:w="0" w:type="auto"/>
            <w:tcBorders>
              <w:bottom w:val="single" w:sz="4" w:space="0" w:color="auto"/>
              <w:right w:val="single" w:sz="4" w:space="0" w:color="auto"/>
            </w:tcBorders>
            <w:vAlign w:val="center"/>
            <w:hideMark/>
          </w:tcPr>
          <w:p w14:paraId="313D56F0"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0.499</w:t>
            </w:r>
          </w:p>
        </w:tc>
      </w:tr>
      <w:tr w:rsidR="00D8096A" w:rsidRPr="00B97698" w14:paraId="7D3D598F" w14:textId="77777777" w:rsidTr="00A053E4">
        <w:trPr>
          <w:trHeight w:val="286"/>
          <w:tblCellSpacing w:w="15" w:type="dxa"/>
        </w:trPr>
        <w:tc>
          <w:tcPr>
            <w:tcW w:w="0" w:type="auto"/>
            <w:tcBorders>
              <w:left w:val="single" w:sz="4" w:space="0" w:color="auto"/>
              <w:bottom w:val="single" w:sz="4" w:space="0" w:color="auto"/>
            </w:tcBorders>
            <w:vAlign w:val="center"/>
            <w:hideMark/>
          </w:tcPr>
          <w:p w14:paraId="574B07A5" w14:textId="77777777" w:rsidR="00D8096A" w:rsidRPr="00B97698" w:rsidRDefault="00D8096A" w:rsidP="00B97698">
            <w:pPr>
              <w:spacing w:after="0" w:line="240" w:lineRule="auto"/>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Cord Prolapse</w:t>
            </w:r>
          </w:p>
        </w:tc>
        <w:tc>
          <w:tcPr>
            <w:tcW w:w="0" w:type="auto"/>
            <w:tcBorders>
              <w:bottom w:val="single" w:sz="4" w:space="0" w:color="auto"/>
            </w:tcBorders>
            <w:vAlign w:val="center"/>
            <w:hideMark/>
          </w:tcPr>
          <w:p w14:paraId="74712047"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 (0.0%)</w:t>
            </w:r>
          </w:p>
        </w:tc>
        <w:tc>
          <w:tcPr>
            <w:tcW w:w="0" w:type="auto"/>
            <w:tcBorders>
              <w:bottom w:val="single" w:sz="4" w:space="0" w:color="auto"/>
            </w:tcBorders>
            <w:vAlign w:val="center"/>
            <w:hideMark/>
          </w:tcPr>
          <w:p w14:paraId="32F02DBE"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1 (2.0%)</w:t>
            </w:r>
          </w:p>
        </w:tc>
        <w:tc>
          <w:tcPr>
            <w:tcW w:w="0" w:type="auto"/>
            <w:tcBorders>
              <w:bottom w:val="single" w:sz="4" w:space="0" w:color="auto"/>
              <w:right w:val="single" w:sz="4" w:space="0" w:color="auto"/>
            </w:tcBorders>
            <w:vAlign w:val="center"/>
            <w:hideMark/>
          </w:tcPr>
          <w:p w14:paraId="4317A5B8" w14:textId="77777777" w:rsidR="00D8096A" w:rsidRPr="00B97698" w:rsidRDefault="00D8096A" w:rsidP="00B97698">
            <w:pPr>
              <w:spacing w:after="0" w:line="240" w:lineRule="auto"/>
              <w:jc w:val="center"/>
              <w:rPr>
                <w:rFonts w:asciiTheme="majorBidi" w:eastAsia="Times New Roman" w:hAnsiTheme="majorBidi" w:cstheme="majorBidi"/>
                <w:sz w:val="24"/>
                <w:szCs w:val="24"/>
                <w:lang w:val="en-US"/>
              </w:rPr>
            </w:pPr>
            <w:r w:rsidRPr="00B97698">
              <w:rPr>
                <w:rFonts w:asciiTheme="majorBidi" w:eastAsia="Times New Roman" w:hAnsiTheme="majorBidi" w:cstheme="majorBidi"/>
                <w:sz w:val="24"/>
                <w:szCs w:val="24"/>
                <w:lang w:val="en-US"/>
              </w:rPr>
              <w:t>0.315</w:t>
            </w:r>
          </w:p>
        </w:tc>
      </w:tr>
    </w:tbl>
    <w:p w14:paraId="35A1BB5C" w14:textId="77777777" w:rsidR="00D8096A" w:rsidRPr="009D3EC2" w:rsidRDefault="00D8096A" w:rsidP="009D3EC2">
      <w:pPr>
        <w:widowControl w:val="0"/>
        <w:autoSpaceDE w:val="0"/>
        <w:autoSpaceDN w:val="0"/>
        <w:adjustRightInd w:val="0"/>
        <w:spacing w:after="0" w:line="240" w:lineRule="auto"/>
        <w:ind w:left="360"/>
        <w:rPr>
          <w:rFonts w:asciiTheme="majorBidi" w:eastAsia="Times New Roman" w:hAnsiTheme="majorBidi" w:cstheme="majorBidi"/>
          <w:lang w:val="en-US"/>
        </w:rPr>
      </w:pPr>
      <w:r w:rsidRPr="009D3EC2">
        <w:rPr>
          <w:rFonts w:asciiTheme="majorBidi" w:eastAsia="Times New Roman" w:hAnsiTheme="majorBidi" w:cstheme="majorBidi"/>
          <w:b/>
          <w:bCs/>
          <w:lang w:val="en-US"/>
        </w:rPr>
        <w:t>Abbreviation.</w:t>
      </w:r>
      <w:r w:rsidRPr="009D3EC2">
        <w:rPr>
          <w:rFonts w:asciiTheme="majorBidi" w:eastAsia="Times New Roman" w:hAnsiTheme="majorBidi" w:cstheme="majorBidi"/>
          <w:lang w:val="en-US"/>
        </w:rPr>
        <w:t xml:space="preserve"> CS: Cesarean Section, NVD: Normal Vaginal Delivery.</w:t>
      </w:r>
      <w:r w:rsidRPr="006F3FF8">
        <w:rPr>
          <w:rFonts w:asciiTheme="majorBidi" w:eastAsia="Times New Roman" w:hAnsiTheme="majorBidi" w:cstheme="majorBidi"/>
          <w:lang w:val="en-US"/>
        </w:rPr>
        <w:t xml:space="preserve"> HTN: Hypertension, PROM: Premature Rupture of Membranes</w:t>
      </w:r>
    </w:p>
    <w:p w14:paraId="189D8E5E" w14:textId="77777777" w:rsidR="00D8096A" w:rsidRPr="009D3EC2" w:rsidRDefault="00D8096A" w:rsidP="009D3EC2">
      <w:pPr>
        <w:widowControl w:val="0"/>
        <w:autoSpaceDE w:val="0"/>
        <w:autoSpaceDN w:val="0"/>
        <w:adjustRightInd w:val="0"/>
        <w:spacing w:after="0" w:line="240" w:lineRule="auto"/>
        <w:rPr>
          <w:rFonts w:asciiTheme="majorBidi" w:eastAsia="Times New Roman" w:hAnsiTheme="majorBidi" w:cstheme="majorBidi"/>
          <w:lang w:val="en-US"/>
        </w:rPr>
      </w:pPr>
      <w:r w:rsidRPr="009D3EC2">
        <w:rPr>
          <w:rFonts w:asciiTheme="majorBidi" w:eastAsia="Times New Roman" w:hAnsiTheme="majorBidi" w:cstheme="majorBidi"/>
          <w:lang w:val="en-US"/>
        </w:rPr>
        <w:t>Data represent as Mean ± SD or number (percentage).</w:t>
      </w:r>
    </w:p>
    <w:p w14:paraId="6F6B6CBC" w14:textId="77777777" w:rsidR="00D8096A" w:rsidRPr="009D3EC2" w:rsidRDefault="00D8096A" w:rsidP="009D3EC2">
      <w:pPr>
        <w:widowControl w:val="0"/>
        <w:autoSpaceDE w:val="0"/>
        <w:autoSpaceDN w:val="0"/>
        <w:adjustRightInd w:val="0"/>
        <w:spacing w:after="0" w:line="240" w:lineRule="auto"/>
        <w:rPr>
          <w:rFonts w:asciiTheme="majorBidi" w:eastAsia="Times New Roman" w:hAnsiTheme="majorBidi" w:cstheme="majorBidi"/>
          <w:lang w:val="en-US"/>
        </w:rPr>
      </w:pPr>
      <w:r w:rsidRPr="009D3EC2">
        <w:rPr>
          <w:rFonts w:asciiTheme="majorBidi" w:eastAsia="Calibri" w:hAnsiTheme="majorBidi" w:cstheme="majorBidi"/>
          <w:lang w:val="en-US"/>
        </w:rPr>
        <w:t>p: p value for comparing between the two studied groups.   *: Statistically significant at p ≤ 0.05</w:t>
      </w:r>
    </w:p>
    <w:p w14:paraId="42A180F1" w14:textId="77777777" w:rsidR="00A053E4" w:rsidRDefault="00A053E4" w:rsidP="00CA5AF1">
      <w:pPr>
        <w:widowControl w:val="0"/>
        <w:autoSpaceDE w:val="0"/>
        <w:autoSpaceDN w:val="0"/>
        <w:adjustRightInd w:val="0"/>
        <w:spacing w:after="0" w:line="480" w:lineRule="auto"/>
        <w:jc w:val="both"/>
        <w:rPr>
          <w:rFonts w:asciiTheme="majorBidi" w:eastAsia="Calibri" w:hAnsiTheme="majorBidi" w:cstheme="majorBidi"/>
          <w:sz w:val="24"/>
          <w:szCs w:val="24"/>
          <w:lang w:val="en-US"/>
        </w:rPr>
      </w:pPr>
    </w:p>
    <w:p w14:paraId="229F5362" w14:textId="77777777" w:rsidR="00A053E4" w:rsidRPr="00A053E4" w:rsidRDefault="00A053E4" w:rsidP="00A053E4">
      <w:pPr>
        <w:widowControl w:val="0"/>
        <w:autoSpaceDE w:val="0"/>
        <w:autoSpaceDN w:val="0"/>
        <w:adjustRightInd w:val="0"/>
        <w:spacing w:after="0" w:line="480" w:lineRule="auto"/>
        <w:jc w:val="both"/>
        <w:rPr>
          <w:rFonts w:asciiTheme="majorBidi" w:hAnsiTheme="majorBidi" w:cstheme="majorBidi"/>
          <w:sz w:val="24"/>
          <w:szCs w:val="24"/>
          <w:lang w:val="en-US"/>
        </w:rPr>
      </w:pPr>
      <w:r w:rsidRPr="00A053E4">
        <w:rPr>
          <w:rFonts w:asciiTheme="majorBidi" w:hAnsiTheme="majorBidi" w:cstheme="majorBidi"/>
          <w:sz w:val="24"/>
          <w:szCs w:val="24"/>
          <w:lang w:val="en-US"/>
        </w:rPr>
        <w:t xml:space="preserve">Table (1) illustrates the groups' baseline characteristics. Gender, gestational age, birth weight, mode of delivery, resuscitation at birth, Apgar scores, surfactant administration, and consanguinity did not differ between HFNC and nCPAP groups. Groups had similar maternal age, parity, </w:t>
      </w:r>
      <w:r w:rsidRPr="00A053E4">
        <w:rPr>
          <w:rFonts w:asciiTheme="majorBidi" w:hAnsiTheme="majorBidi" w:cstheme="majorBidi"/>
          <w:sz w:val="24"/>
          <w:szCs w:val="24"/>
          <w:lang w:val="en-US"/>
        </w:rPr>
        <w:lastRenderedPageBreak/>
        <w:t>prenatal steroid use, and risk variables.</w:t>
      </w:r>
    </w:p>
    <w:p w14:paraId="4D33239D" w14:textId="43A91531" w:rsidR="00A053E4" w:rsidRDefault="00A053E4" w:rsidP="00CA5AF1">
      <w:pPr>
        <w:widowControl w:val="0"/>
        <w:autoSpaceDE w:val="0"/>
        <w:autoSpaceDN w:val="0"/>
        <w:adjustRightInd w:val="0"/>
        <w:spacing w:after="0" w:line="480" w:lineRule="auto"/>
        <w:jc w:val="both"/>
        <w:rPr>
          <w:rFonts w:asciiTheme="majorBidi" w:hAnsiTheme="majorBidi" w:cstheme="majorBidi"/>
          <w:sz w:val="24"/>
          <w:szCs w:val="24"/>
          <w:lang w:val="en-US"/>
        </w:rPr>
      </w:pPr>
    </w:p>
    <w:p w14:paraId="489EDD6E" w14:textId="77777777" w:rsidR="00A053E4" w:rsidRDefault="00A053E4" w:rsidP="00CA5AF1">
      <w:pPr>
        <w:widowControl w:val="0"/>
        <w:autoSpaceDE w:val="0"/>
        <w:autoSpaceDN w:val="0"/>
        <w:adjustRightInd w:val="0"/>
        <w:spacing w:after="0" w:line="480" w:lineRule="auto"/>
        <w:jc w:val="both"/>
        <w:rPr>
          <w:rFonts w:asciiTheme="majorBidi" w:hAnsiTheme="majorBidi" w:cstheme="majorBidi"/>
          <w:sz w:val="24"/>
          <w:szCs w:val="24"/>
          <w:lang w:val="en-US"/>
        </w:rPr>
      </w:pPr>
    </w:p>
    <w:p w14:paraId="7808CD14" w14:textId="77777777" w:rsidR="00D8096A" w:rsidRPr="009D3EC2" w:rsidRDefault="00D8096A" w:rsidP="009D3EC2">
      <w:pPr>
        <w:spacing w:before="100" w:beforeAutospacing="1" w:after="100" w:afterAutospacing="1" w:line="240" w:lineRule="auto"/>
        <w:outlineLvl w:val="2"/>
        <w:rPr>
          <w:rFonts w:asciiTheme="majorBidi" w:eastAsia="Times New Roman" w:hAnsiTheme="majorBidi" w:cstheme="majorBidi"/>
          <w:b/>
          <w:bCs/>
          <w:sz w:val="24"/>
          <w:szCs w:val="24"/>
          <w:lang w:val="en-US"/>
        </w:rPr>
      </w:pPr>
      <w:r w:rsidRPr="009D3EC2">
        <w:rPr>
          <w:rFonts w:asciiTheme="majorBidi" w:eastAsia="Times New Roman" w:hAnsiTheme="majorBidi" w:cstheme="majorBidi"/>
          <w:b/>
          <w:bCs/>
          <w:sz w:val="24"/>
          <w:szCs w:val="24"/>
          <w:lang w:val="en-US"/>
        </w:rPr>
        <w:t>Table 2: Respiratory and Feeding Outcomes</w:t>
      </w:r>
      <w:r w:rsidRPr="00280DEB">
        <w:rPr>
          <w:rFonts w:asciiTheme="majorBidi" w:hAnsiTheme="majorBidi" w:cstheme="majorBidi"/>
          <w:sz w:val="24"/>
          <w:szCs w:val="24"/>
        </w:rPr>
        <w:t xml:space="preserve"> </w:t>
      </w:r>
      <w:r w:rsidRPr="00280DEB">
        <w:rPr>
          <w:rFonts w:asciiTheme="majorBidi" w:eastAsia="Times New Roman" w:hAnsiTheme="majorBidi" w:cstheme="majorBidi"/>
          <w:b/>
          <w:bCs/>
          <w:sz w:val="24"/>
          <w:szCs w:val="24"/>
          <w:lang w:val="en-US"/>
        </w:rPr>
        <w:t>of the studied groups.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93"/>
        <w:gridCol w:w="2120"/>
        <w:gridCol w:w="2204"/>
        <w:gridCol w:w="891"/>
      </w:tblGrid>
      <w:tr w:rsidR="00D8096A" w:rsidRPr="009D3EC2" w14:paraId="5DC30F06" w14:textId="77777777" w:rsidTr="00A053E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4B063CB" w14:textId="77777777" w:rsidR="00D8096A" w:rsidRPr="009D3EC2" w:rsidRDefault="00D8096A" w:rsidP="009D3EC2">
            <w:pPr>
              <w:spacing w:after="0" w:line="240" w:lineRule="auto"/>
              <w:jc w:val="center"/>
              <w:rPr>
                <w:rFonts w:asciiTheme="majorBidi" w:eastAsia="Times New Roman" w:hAnsiTheme="majorBidi" w:cstheme="majorBidi"/>
                <w:b/>
                <w:bCs/>
                <w:sz w:val="24"/>
                <w:szCs w:val="24"/>
                <w:lang w:val="en-US"/>
              </w:rPr>
            </w:pPr>
            <w:r w:rsidRPr="009D3EC2">
              <w:rPr>
                <w:rFonts w:asciiTheme="majorBidi" w:eastAsia="Times New Roman" w:hAnsiTheme="majorBidi" w:cstheme="majorBidi"/>
                <w:b/>
                <w:bCs/>
                <w:sz w:val="24"/>
                <w:szCs w:val="24"/>
                <w:lang w:val="en-US"/>
              </w:rPr>
              <w:t>Variable</w:t>
            </w:r>
          </w:p>
        </w:tc>
        <w:tc>
          <w:tcPr>
            <w:tcW w:w="0" w:type="auto"/>
            <w:tcBorders>
              <w:top w:val="single" w:sz="4" w:space="0" w:color="auto"/>
              <w:bottom w:val="single" w:sz="4" w:space="0" w:color="auto"/>
              <w:right w:val="single" w:sz="4" w:space="0" w:color="auto"/>
            </w:tcBorders>
            <w:vAlign w:val="center"/>
            <w:hideMark/>
          </w:tcPr>
          <w:p w14:paraId="7DF10908" w14:textId="77777777" w:rsidR="00D8096A" w:rsidRPr="009D3EC2" w:rsidRDefault="00D8096A" w:rsidP="009D3EC2">
            <w:pPr>
              <w:spacing w:after="0" w:line="240" w:lineRule="auto"/>
              <w:jc w:val="center"/>
              <w:rPr>
                <w:rFonts w:asciiTheme="majorBidi" w:eastAsia="Times New Roman" w:hAnsiTheme="majorBidi" w:cstheme="majorBidi"/>
                <w:b/>
                <w:bCs/>
                <w:sz w:val="24"/>
                <w:szCs w:val="24"/>
                <w:lang w:val="en-US"/>
              </w:rPr>
            </w:pPr>
            <w:r w:rsidRPr="009D3EC2">
              <w:rPr>
                <w:rFonts w:asciiTheme="majorBidi" w:eastAsia="Times New Roman" w:hAnsiTheme="majorBidi" w:cstheme="majorBidi"/>
                <w:b/>
                <w:bCs/>
                <w:sz w:val="24"/>
                <w:szCs w:val="24"/>
                <w:lang w:val="en-US"/>
              </w:rPr>
              <w:t>HFNC Group (N=50)</w:t>
            </w:r>
          </w:p>
        </w:tc>
        <w:tc>
          <w:tcPr>
            <w:tcW w:w="0" w:type="auto"/>
            <w:tcBorders>
              <w:top w:val="single" w:sz="4" w:space="0" w:color="auto"/>
              <w:bottom w:val="single" w:sz="4" w:space="0" w:color="auto"/>
              <w:right w:val="single" w:sz="4" w:space="0" w:color="auto"/>
            </w:tcBorders>
            <w:vAlign w:val="center"/>
            <w:hideMark/>
          </w:tcPr>
          <w:p w14:paraId="22F47124" w14:textId="77777777" w:rsidR="00D8096A" w:rsidRPr="009D3EC2" w:rsidRDefault="00D8096A" w:rsidP="009D3EC2">
            <w:pPr>
              <w:spacing w:after="0" w:line="240" w:lineRule="auto"/>
              <w:jc w:val="center"/>
              <w:rPr>
                <w:rFonts w:asciiTheme="majorBidi" w:eastAsia="Times New Roman" w:hAnsiTheme="majorBidi" w:cstheme="majorBidi"/>
                <w:b/>
                <w:bCs/>
                <w:sz w:val="24"/>
                <w:szCs w:val="24"/>
                <w:lang w:val="en-US"/>
              </w:rPr>
            </w:pPr>
            <w:r w:rsidRPr="009D3EC2">
              <w:rPr>
                <w:rFonts w:asciiTheme="majorBidi" w:eastAsia="Times New Roman" w:hAnsiTheme="majorBidi" w:cstheme="majorBidi"/>
                <w:b/>
                <w:bCs/>
                <w:sz w:val="24"/>
                <w:szCs w:val="24"/>
                <w:lang w:val="en-US"/>
              </w:rPr>
              <w:t>nCPAP Group (N=50)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A547E0" w14:textId="77777777" w:rsidR="00D8096A" w:rsidRPr="009D3EC2" w:rsidRDefault="00D8096A" w:rsidP="009D3EC2">
            <w:pPr>
              <w:spacing w:after="0" w:line="240" w:lineRule="auto"/>
              <w:jc w:val="center"/>
              <w:rPr>
                <w:rFonts w:asciiTheme="majorBidi" w:eastAsia="Times New Roman" w:hAnsiTheme="majorBidi" w:cstheme="majorBidi"/>
                <w:b/>
                <w:bCs/>
                <w:sz w:val="24"/>
                <w:szCs w:val="24"/>
                <w:lang w:val="en-US"/>
              </w:rPr>
            </w:pPr>
            <w:r w:rsidRPr="009D3EC2">
              <w:rPr>
                <w:rFonts w:asciiTheme="majorBidi" w:eastAsia="Times New Roman" w:hAnsiTheme="majorBidi" w:cstheme="majorBidi"/>
                <w:b/>
                <w:bCs/>
                <w:sz w:val="24"/>
                <w:szCs w:val="24"/>
                <w:lang w:val="en-US"/>
              </w:rPr>
              <w:t>p-value</w:t>
            </w:r>
          </w:p>
        </w:tc>
      </w:tr>
      <w:tr w:rsidR="00D8096A" w:rsidRPr="009D3EC2" w14:paraId="6E5CD9DA" w14:textId="77777777" w:rsidTr="00A053E4">
        <w:trPr>
          <w:tblCellSpacing w:w="15" w:type="dxa"/>
        </w:trPr>
        <w:tc>
          <w:tcPr>
            <w:tcW w:w="0" w:type="auto"/>
            <w:tcBorders>
              <w:left w:val="single" w:sz="4" w:space="0" w:color="auto"/>
              <w:right w:val="single" w:sz="4" w:space="0" w:color="auto"/>
            </w:tcBorders>
            <w:vAlign w:val="center"/>
            <w:hideMark/>
          </w:tcPr>
          <w:p w14:paraId="1F24514B" w14:textId="77777777" w:rsidR="00D8096A" w:rsidRPr="009D3EC2" w:rsidRDefault="00D8096A" w:rsidP="009D3EC2">
            <w:pPr>
              <w:spacing w:after="0" w:line="240" w:lineRule="auto"/>
              <w:rPr>
                <w:rFonts w:asciiTheme="majorBidi" w:eastAsia="Times New Roman" w:hAnsiTheme="majorBidi" w:cstheme="majorBidi"/>
                <w:sz w:val="24"/>
                <w:szCs w:val="24"/>
                <w:lang w:val="en-US"/>
              </w:rPr>
            </w:pPr>
            <w:r w:rsidRPr="009D3EC2">
              <w:rPr>
                <w:rFonts w:asciiTheme="majorBidi" w:eastAsia="Times New Roman" w:hAnsiTheme="majorBidi" w:cstheme="majorBidi"/>
                <w:b/>
                <w:bCs/>
                <w:sz w:val="24"/>
                <w:szCs w:val="24"/>
                <w:lang w:val="en-US"/>
              </w:rPr>
              <w:t>Respiratory Outcomes</w:t>
            </w:r>
          </w:p>
        </w:tc>
        <w:tc>
          <w:tcPr>
            <w:tcW w:w="0" w:type="auto"/>
            <w:tcBorders>
              <w:right w:val="single" w:sz="4" w:space="0" w:color="auto"/>
            </w:tcBorders>
            <w:vAlign w:val="center"/>
            <w:hideMark/>
          </w:tcPr>
          <w:p w14:paraId="4F4F643D"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p>
        </w:tc>
        <w:tc>
          <w:tcPr>
            <w:tcW w:w="0" w:type="auto"/>
            <w:vAlign w:val="center"/>
            <w:hideMark/>
          </w:tcPr>
          <w:p w14:paraId="33C568A1"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p>
        </w:tc>
        <w:tc>
          <w:tcPr>
            <w:tcW w:w="0" w:type="auto"/>
            <w:tcBorders>
              <w:left w:val="single" w:sz="4" w:space="0" w:color="auto"/>
              <w:right w:val="single" w:sz="4" w:space="0" w:color="auto"/>
            </w:tcBorders>
            <w:vAlign w:val="center"/>
            <w:hideMark/>
          </w:tcPr>
          <w:p w14:paraId="374BB49E"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p>
        </w:tc>
      </w:tr>
      <w:tr w:rsidR="00D8096A" w:rsidRPr="009D3EC2" w14:paraId="78325012" w14:textId="77777777" w:rsidTr="00A053E4">
        <w:trPr>
          <w:tblCellSpacing w:w="15" w:type="dxa"/>
        </w:trPr>
        <w:tc>
          <w:tcPr>
            <w:tcW w:w="0" w:type="auto"/>
            <w:tcBorders>
              <w:top w:val="single" w:sz="4" w:space="0" w:color="auto"/>
              <w:left w:val="single" w:sz="4" w:space="0" w:color="auto"/>
              <w:right w:val="single" w:sz="4" w:space="0" w:color="auto"/>
            </w:tcBorders>
            <w:vAlign w:val="center"/>
            <w:hideMark/>
          </w:tcPr>
          <w:p w14:paraId="7B1E72D5" w14:textId="77777777" w:rsidR="00D8096A" w:rsidRPr="009D3EC2" w:rsidRDefault="00D8096A" w:rsidP="009D3EC2">
            <w:pPr>
              <w:spacing w:after="0" w:line="240" w:lineRule="auto"/>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Time of Initiation of Respiratory Support (days)</w:t>
            </w:r>
          </w:p>
        </w:tc>
        <w:tc>
          <w:tcPr>
            <w:tcW w:w="0" w:type="auto"/>
            <w:tcBorders>
              <w:top w:val="single" w:sz="4" w:space="0" w:color="auto"/>
              <w:right w:val="single" w:sz="4" w:space="0" w:color="auto"/>
            </w:tcBorders>
            <w:vAlign w:val="center"/>
            <w:hideMark/>
          </w:tcPr>
          <w:p w14:paraId="5A285222"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1.54 ± 0.74</w:t>
            </w:r>
          </w:p>
        </w:tc>
        <w:tc>
          <w:tcPr>
            <w:tcW w:w="0" w:type="auto"/>
            <w:tcBorders>
              <w:top w:val="single" w:sz="4" w:space="0" w:color="auto"/>
            </w:tcBorders>
            <w:vAlign w:val="center"/>
            <w:hideMark/>
          </w:tcPr>
          <w:p w14:paraId="57E3CCD3"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1.98 ± 0.84</w:t>
            </w:r>
          </w:p>
        </w:tc>
        <w:tc>
          <w:tcPr>
            <w:tcW w:w="0" w:type="auto"/>
            <w:tcBorders>
              <w:top w:val="single" w:sz="4" w:space="0" w:color="auto"/>
              <w:left w:val="single" w:sz="4" w:space="0" w:color="auto"/>
              <w:right w:val="single" w:sz="4" w:space="0" w:color="auto"/>
            </w:tcBorders>
            <w:vAlign w:val="center"/>
            <w:hideMark/>
          </w:tcPr>
          <w:p w14:paraId="593598C3"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0.149</w:t>
            </w:r>
          </w:p>
        </w:tc>
      </w:tr>
      <w:tr w:rsidR="00D8096A" w:rsidRPr="009D3EC2" w14:paraId="5FC9B15A" w14:textId="77777777" w:rsidTr="00A053E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D36BD92" w14:textId="77777777" w:rsidR="00D8096A" w:rsidRPr="009D3EC2" w:rsidRDefault="00D8096A" w:rsidP="009D3EC2">
            <w:pPr>
              <w:spacing w:after="0" w:line="240" w:lineRule="auto"/>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Duration of Respiratory Support (days)</w:t>
            </w:r>
          </w:p>
        </w:tc>
        <w:tc>
          <w:tcPr>
            <w:tcW w:w="0" w:type="auto"/>
            <w:tcBorders>
              <w:top w:val="single" w:sz="4" w:space="0" w:color="auto"/>
              <w:bottom w:val="single" w:sz="4" w:space="0" w:color="auto"/>
              <w:right w:val="single" w:sz="4" w:space="0" w:color="auto"/>
            </w:tcBorders>
            <w:vAlign w:val="center"/>
            <w:hideMark/>
          </w:tcPr>
          <w:p w14:paraId="78136D9E"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5.42 ± 2.18</w:t>
            </w:r>
          </w:p>
        </w:tc>
        <w:tc>
          <w:tcPr>
            <w:tcW w:w="0" w:type="auto"/>
            <w:tcBorders>
              <w:top w:val="single" w:sz="4" w:space="0" w:color="auto"/>
              <w:bottom w:val="single" w:sz="4" w:space="0" w:color="auto"/>
            </w:tcBorders>
            <w:vAlign w:val="center"/>
            <w:hideMark/>
          </w:tcPr>
          <w:p w14:paraId="1C612F9A"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6.87 ± 3.12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76BDB52"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0.045 *</w:t>
            </w:r>
          </w:p>
        </w:tc>
      </w:tr>
      <w:tr w:rsidR="00D8096A" w:rsidRPr="009D3EC2" w14:paraId="25E81EA6" w14:textId="77777777" w:rsidTr="00A053E4">
        <w:trPr>
          <w:tblCellSpacing w:w="15" w:type="dxa"/>
        </w:trPr>
        <w:tc>
          <w:tcPr>
            <w:tcW w:w="0" w:type="auto"/>
            <w:tcBorders>
              <w:left w:val="single" w:sz="4" w:space="0" w:color="auto"/>
              <w:right w:val="single" w:sz="4" w:space="0" w:color="auto"/>
            </w:tcBorders>
            <w:vAlign w:val="center"/>
            <w:hideMark/>
          </w:tcPr>
          <w:p w14:paraId="57A5BE5C" w14:textId="77777777" w:rsidR="00D8096A" w:rsidRPr="009D3EC2" w:rsidRDefault="00D8096A" w:rsidP="009D3EC2">
            <w:pPr>
              <w:spacing w:after="0" w:line="240" w:lineRule="auto"/>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Successful Weaning of NIV</w:t>
            </w:r>
          </w:p>
        </w:tc>
        <w:tc>
          <w:tcPr>
            <w:tcW w:w="0" w:type="auto"/>
            <w:tcBorders>
              <w:right w:val="single" w:sz="4" w:space="0" w:color="auto"/>
            </w:tcBorders>
            <w:vAlign w:val="center"/>
            <w:hideMark/>
          </w:tcPr>
          <w:p w14:paraId="0C84A225"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40 (80.0%)</w:t>
            </w:r>
          </w:p>
        </w:tc>
        <w:tc>
          <w:tcPr>
            <w:tcW w:w="0" w:type="auto"/>
            <w:vAlign w:val="center"/>
            <w:hideMark/>
          </w:tcPr>
          <w:p w14:paraId="574D2D4C"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35 (70.0%)</w:t>
            </w:r>
          </w:p>
        </w:tc>
        <w:tc>
          <w:tcPr>
            <w:tcW w:w="0" w:type="auto"/>
            <w:tcBorders>
              <w:left w:val="single" w:sz="4" w:space="0" w:color="auto"/>
              <w:right w:val="single" w:sz="4" w:space="0" w:color="auto"/>
            </w:tcBorders>
            <w:vAlign w:val="center"/>
            <w:hideMark/>
          </w:tcPr>
          <w:p w14:paraId="46CF9DDE"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0.250</w:t>
            </w:r>
          </w:p>
        </w:tc>
      </w:tr>
      <w:tr w:rsidR="00D8096A" w:rsidRPr="009D3EC2" w14:paraId="271B78C5" w14:textId="77777777" w:rsidTr="00A053E4">
        <w:trPr>
          <w:tblCellSpacing w:w="15" w:type="dxa"/>
        </w:trPr>
        <w:tc>
          <w:tcPr>
            <w:tcW w:w="0" w:type="auto"/>
            <w:tcBorders>
              <w:top w:val="single" w:sz="4" w:space="0" w:color="auto"/>
              <w:left w:val="single" w:sz="4" w:space="0" w:color="auto"/>
              <w:right w:val="single" w:sz="4" w:space="0" w:color="auto"/>
            </w:tcBorders>
            <w:vAlign w:val="center"/>
            <w:hideMark/>
          </w:tcPr>
          <w:p w14:paraId="54EC8757" w14:textId="77777777" w:rsidR="00D8096A" w:rsidRPr="009D3EC2" w:rsidRDefault="00D8096A" w:rsidP="009D3EC2">
            <w:pPr>
              <w:spacing w:after="0" w:line="240" w:lineRule="auto"/>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Need for Mechanical Ventilation</w:t>
            </w:r>
          </w:p>
        </w:tc>
        <w:tc>
          <w:tcPr>
            <w:tcW w:w="0" w:type="auto"/>
            <w:tcBorders>
              <w:top w:val="single" w:sz="4" w:space="0" w:color="auto"/>
              <w:right w:val="single" w:sz="4" w:space="0" w:color="auto"/>
            </w:tcBorders>
            <w:vAlign w:val="center"/>
            <w:hideMark/>
          </w:tcPr>
          <w:p w14:paraId="111107EC"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7 (14.0%)</w:t>
            </w:r>
          </w:p>
        </w:tc>
        <w:tc>
          <w:tcPr>
            <w:tcW w:w="0" w:type="auto"/>
            <w:tcBorders>
              <w:top w:val="single" w:sz="4" w:space="0" w:color="auto"/>
            </w:tcBorders>
            <w:vAlign w:val="center"/>
            <w:hideMark/>
          </w:tcPr>
          <w:p w14:paraId="5569B11D"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13 (26.0%)</w:t>
            </w:r>
          </w:p>
        </w:tc>
        <w:tc>
          <w:tcPr>
            <w:tcW w:w="0" w:type="auto"/>
            <w:tcBorders>
              <w:top w:val="single" w:sz="4" w:space="0" w:color="auto"/>
              <w:left w:val="single" w:sz="4" w:space="0" w:color="auto"/>
              <w:right w:val="single" w:sz="4" w:space="0" w:color="auto"/>
            </w:tcBorders>
            <w:vAlign w:val="center"/>
            <w:hideMark/>
          </w:tcPr>
          <w:p w14:paraId="52BC9135"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0.135</w:t>
            </w:r>
          </w:p>
        </w:tc>
      </w:tr>
      <w:tr w:rsidR="00D8096A" w:rsidRPr="009D3EC2" w14:paraId="01E41D63" w14:textId="77777777" w:rsidTr="00A053E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F4E13A" w14:textId="77777777" w:rsidR="00D8096A" w:rsidRPr="009D3EC2" w:rsidRDefault="00D8096A" w:rsidP="009D3EC2">
            <w:pPr>
              <w:spacing w:after="0" w:line="240" w:lineRule="auto"/>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Duration of Supplemental O₂ (days)</w:t>
            </w:r>
          </w:p>
        </w:tc>
        <w:tc>
          <w:tcPr>
            <w:tcW w:w="0" w:type="auto"/>
            <w:tcBorders>
              <w:top w:val="single" w:sz="4" w:space="0" w:color="auto"/>
              <w:bottom w:val="single" w:sz="4" w:space="0" w:color="auto"/>
              <w:right w:val="single" w:sz="4" w:space="0" w:color="auto"/>
            </w:tcBorders>
            <w:vAlign w:val="center"/>
            <w:hideMark/>
          </w:tcPr>
          <w:p w14:paraId="447148BC"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10.54 ± 4.12</w:t>
            </w:r>
          </w:p>
        </w:tc>
        <w:tc>
          <w:tcPr>
            <w:tcW w:w="0" w:type="auto"/>
            <w:tcBorders>
              <w:top w:val="single" w:sz="4" w:space="0" w:color="auto"/>
              <w:bottom w:val="single" w:sz="4" w:space="0" w:color="auto"/>
            </w:tcBorders>
            <w:vAlign w:val="center"/>
            <w:hideMark/>
          </w:tcPr>
          <w:p w14:paraId="490025E5"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12.98 ± 5.20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5BA949D"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0.030 *</w:t>
            </w:r>
          </w:p>
        </w:tc>
      </w:tr>
      <w:tr w:rsidR="00D8096A" w:rsidRPr="009D3EC2" w14:paraId="0F65722C" w14:textId="77777777" w:rsidTr="00A053E4">
        <w:trPr>
          <w:tblCellSpacing w:w="15" w:type="dxa"/>
        </w:trPr>
        <w:tc>
          <w:tcPr>
            <w:tcW w:w="0" w:type="auto"/>
            <w:tcBorders>
              <w:left w:val="single" w:sz="4" w:space="0" w:color="auto"/>
              <w:bottom w:val="single" w:sz="4" w:space="0" w:color="auto"/>
              <w:right w:val="single" w:sz="4" w:space="0" w:color="auto"/>
            </w:tcBorders>
            <w:vAlign w:val="center"/>
            <w:hideMark/>
          </w:tcPr>
          <w:p w14:paraId="274803FB" w14:textId="77777777" w:rsidR="00D8096A" w:rsidRPr="009D3EC2" w:rsidRDefault="00D8096A" w:rsidP="009D3EC2">
            <w:pPr>
              <w:spacing w:after="0" w:line="240" w:lineRule="auto"/>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Hospital Stay Duration (days)</w:t>
            </w:r>
          </w:p>
        </w:tc>
        <w:tc>
          <w:tcPr>
            <w:tcW w:w="0" w:type="auto"/>
            <w:tcBorders>
              <w:bottom w:val="single" w:sz="4" w:space="0" w:color="auto"/>
              <w:right w:val="single" w:sz="4" w:space="0" w:color="auto"/>
            </w:tcBorders>
            <w:vAlign w:val="center"/>
            <w:hideMark/>
          </w:tcPr>
          <w:p w14:paraId="10CD83B0"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8.36 ± 3.63</w:t>
            </w:r>
          </w:p>
        </w:tc>
        <w:tc>
          <w:tcPr>
            <w:tcW w:w="0" w:type="auto"/>
            <w:tcBorders>
              <w:bottom w:val="single" w:sz="4" w:space="0" w:color="auto"/>
            </w:tcBorders>
            <w:vAlign w:val="center"/>
            <w:hideMark/>
          </w:tcPr>
          <w:p w14:paraId="3741B6B4"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13.22 ± 5.63</w:t>
            </w:r>
          </w:p>
        </w:tc>
        <w:tc>
          <w:tcPr>
            <w:tcW w:w="0" w:type="auto"/>
            <w:tcBorders>
              <w:left w:val="single" w:sz="4" w:space="0" w:color="auto"/>
              <w:bottom w:val="single" w:sz="4" w:space="0" w:color="auto"/>
              <w:right w:val="single" w:sz="4" w:space="0" w:color="auto"/>
            </w:tcBorders>
            <w:vAlign w:val="center"/>
            <w:hideMark/>
          </w:tcPr>
          <w:p w14:paraId="6F0AE0F8"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&lt;0.001*</w:t>
            </w:r>
          </w:p>
        </w:tc>
      </w:tr>
      <w:tr w:rsidR="00D8096A" w:rsidRPr="009D3EC2" w14:paraId="71957CDB" w14:textId="77777777" w:rsidTr="00A053E4">
        <w:trPr>
          <w:tblCellSpacing w:w="15" w:type="dxa"/>
        </w:trPr>
        <w:tc>
          <w:tcPr>
            <w:tcW w:w="0" w:type="auto"/>
            <w:tcBorders>
              <w:left w:val="single" w:sz="4" w:space="0" w:color="auto"/>
              <w:right w:val="single" w:sz="4" w:space="0" w:color="auto"/>
            </w:tcBorders>
            <w:vAlign w:val="center"/>
            <w:hideMark/>
          </w:tcPr>
          <w:p w14:paraId="41D9C100" w14:textId="77777777" w:rsidR="00D8096A" w:rsidRPr="009D3EC2" w:rsidRDefault="00D8096A" w:rsidP="009D3EC2">
            <w:pPr>
              <w:spacing w:after="0" w:line="240" w:lineRule="auto"/>
              <w:rPr>
                <w:rFonts w:asciiTheme="majorBidi" w:eastAsia="Times New Roman" w:hAnsiTheme="majorBidi" w:cstheme="majorBidi"/>
                <w:sz w:val="24"/>
                <w:szCs w:val="24"/>
                <w:lang w:val="en-US"/>
              </w:rPr>
            </w:pPr>
            <w:r w:rsidRPr="009D3EC2">
              <w:rPr>
                <w:rFonts w:asciiTheme="majorBidi" w:eastAsia="Times New Roman" w:hAnsiTheme="majorBidi" w:cstheme="majorBidi"/>
                <w:b/>
                <w:bCs/>
                <w:sz w:val="24"/>
                <w:szCs w:val="24"/>
                <w:lang w:val="en-US"/>
              </w:rPr>
              <w:t>Feeding Outcomes</w:t>
            </w:r>
          </w:p>
        </w:tc>
        <w:tc>
          <w:tcPr>
            <w:tcW w:w="0" w:type="auto"/>
            <w:tcBorders>
              <w:right w:val="single" w:sz="4" w:space="0" w:color="auto"/>
            </w:tcBorders>
            <w:vAlign w:val="center"/>
            <w:hideMark/>
          </w:tcPr>
          <w:p w14:paraId="59CDED9F"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p>
        </w:tc>
        <w:tc>
          <w:tcPr>
            <w:tcW w:w="0" w:type="auto"/>
            <w:vAlign w:val="center"/>
            <w:hideMark/>
          </w:tcPr>
          <w:p w14:paraId="4C21D7AF"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p>
        </w:tc>
        <w:tc>
          <w:tcPr>
            <w:tcW w:w="0" w:type="auto"/>
            <w:tcBorders>
              <w:left w:val="single" w:sz="4" w:space="0" w:color="auto"/>
              <w:right w:val="single" w:sz="4" w:space="0" w:color="auto"/>
            </w:tcBorders>
            <w:vAlign w:val="center"/>
            <w:hideMark/>
          </w:tcPr>
          <w:p w14:paraId="495C3621"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p>
        </w:tc>
      </w:tr>
      <w:tr w:rsidR="00D8096A" w:rsidRPr="009D3EC2" w14:paraId="55F50081" w14:textId="77777777" w:rsidTr="00A053E4">
        <w:trPr>
          <w:tblCellSpacing w:w="15" w:type="dxa"/>
        </w:trPr>
        <w:tc>
          <w:tcPr>
            <w:tcW w:w="0" w:type="auto"/>
            <w:tcBorders>
              <w:top w:val="single" w:sz="4" w:space="0" w:color="auto"/>
              <w:left w:val="single" w:sz="4" w:space="0" w:color="auto"/>
              <w:right w:val="single" w:sz="4" w:space="0" w:color="auto"/>
            </w:tcBorders>
            <w:vAlign w:val="center"/>
            <w:hideMark/>
          </w:tcPr>
          <w:p w14:paraId="0EE3DAD8" w14:textId="77777777" w:rsidR="00D8096A" w:rsidRPr="009D3EC2" w:rsidRDefault="00D8096A" w:rsidP="009D3EC2">
            <w:pPr>
              <w:spacing w:after="0" w:line="240" w:lineRule="auto"/>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Time to Start Feeding (days)</w:t>
            </w:r>
          </w:p>
        </w:tc>
        <w:tc>
          <w:tcPr>
            <w:tcW w:w="0" w:type="auto"/>
            <w:tcBorders>
              <w:top w:val="single" w:sz="4" w:space="0" w:color="auto"/>
              <w:right w:val="single" w:sz="4" w:space="0" w:color="auto"/>
            </w:tcBorders>
            <w:vAlign w:val="center"/>
            <w:hideMark/>
          </w:tcPr>
          <w:p w14:paraId="564F388E"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2.1 ± 0.9</w:t>
            </w:r>
          </w:p>
        </w:tc>
        <w:tc>
          <w:tcPr>
            <w:tcW w:w="0" w:type="auto"/>
            <w:tcBorders>
              <w:top w:val="single" w:sz="4" w:space="0" w:color="auto"/>
            </w:tcBorders>
            <w:vAlign w:val="center"/>
            <w:hideMark/>
          </w:tcPr>
          <w:p w14:paraId="3839803F"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3.5 ± 1.1</w:t>
            </w:r>
          </w:p>
        </w:tc>
        <w:tc>
          <w:tcPr>
            <w:tcW w:w="0" w:type="auto"/>
            <w:tcBorders>
              <w:top w:val="single" w:sz="4" w:space="0" w:color="auto"/>
              <w:left w:val="single" w:sz="4" w:space="0" w:color="auto"/>
              <w:right w:val="single" w:sz="4" w:space="0" w:color="auto"/>
            </w:tcBorders>
            <w:vAlign w:val="center"/>
            <w:hideMark/>
          </w:tcPr>
          <w:p w14:paraId="10F9B081"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0.030 *</w:t>
            </w:r>
          </w:p>
        </w:tc>
      </w:tr>
      <w:tr w:rsidR="00D8096A" w:rsidRPr="009D3EC2" w14:paraId="0D323E5A" w14:textId="77777777" w:rsidTr="00A053E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321452F" w14:textId="77777777" w:rsidR="00D8096A" w:rsidRPr="009D3EC2" w:rsidRDefault="00D8096A" w:rsidP="009D3EC2">
            <w:pPr>
              <w:spacing w:after="0" w:line="240" w:lineRule="auto"/>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Time to Reach Full Feeds (days)</w:t>
            </w:r>
          </w:p>
        </w:tc>
        <w:tc>
          <w:tcPr>
            <w:tcW w:w="0" w:type="auto"/>
            <w:tcBorders>
              <w:top w:val="single" w:sz="4" w:space="0" w:color="auto"/>
              <w:bottom w:val="single" w:sz="4" w:space="0" w:color="auto"/>
              <w:right w:val="single" w:sz="4" w:space="0" w:color="auto"/>
            </w:tcBorders>
            <w:vAlign w:val="center"/>
            <w:hideMark/>
          </w:tcPr>
          <w:p w14:paraId="1E67DA44"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9.2 ± 3.4</w:t>
            </w:r>
          </w:p>
        </w:tc>
        <w:tc>
          <w:tcPr>
            <w:tcW w:w="0" w:type="auto"/>
            <w:tcBorders>
              <w:top w:val="single" w:sz="4" w:space="0" w:color="auto"/>
              <w:bottom w:val="single" w:sz="4" w:space="0" w:color="auto"/>
            </w:tcBorders>
            <w:vAlign w:val="center"/>
            <w:hideMark/>
          </w:tcPr>
          <w:p w14:paraId="112D3367"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11.6 ± 3.8</w:t>
            </w:r>
          </w:p>
        </w:tc>
        <w:tc>
          <w:tcPr>
            <w:tcW w:w="0" w:type="auto"/>
            <w:tcBorders>
              <w:top w:val="single" w:sz="4" w:space="0" w:color="auto"/>
              <w:left w:val="single" w:sz="4" w:space="0" w:color="auto"/>
              <w:bottom w:val="single" w:sz="4" w:space="0" w:color="auto"/>
              <w:right w:val="single" w:sz="4" w:space="0" w:color="auto"/>
            </w:tcBorders>
            <w:vAlign w:val="center"/>
            <w:hideMark/>
          </w:tcPr>
          <w:p w14:paraId="0E19C1F3"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0.007 *</w:t>
            </w:r>
          </w:p>
        </w:tc>
      </w:tr>
      <w:tr w:rsidR="00D8096A" w:rsidRPr="009D3EC2" w14:paraId="7B5CA143" w14:textId="77777777" w:rsidTr="00A053E4">
        <w:trPr>
          <w:tblCellSpacing w:w="15" w:type="dxa"/>
        </w:trPr>
        <w:tc>
          <w:tcPr>
            <w:tcW w:w="0" w:type="auto"/>
            <w:tcBorders>
              <w:left w:val="single" w:sz="4" w:space="0" w:color="auto"/>
              <w:bottom w:val="single" w:sz="4" w:space="0" w:color="auto"/>
              <w:right w:val="single" w:sz="4" w:space="0" w:color="auto"/>
            </w:tcBorders>
            <w:vAlign w:val="center"/>
            <w:hideMark/>
          </w:tcPr>
          <w:p w14:paraId="5B8EC993" w14:textId="77777777" w:rsidR="00D8096A" w:rsidRPr="009D3EC2" w:rsidRDefault="00D8096A" w:rsidP="009D3EC2">
            <w:pPr>
              <w:spacing w:after="0" w:line="240" w:lineRule="auto"/>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Feeding Intolerance</w:t>
            </w:r>
          </w:p>
        </w:tc>
        <w:tc>
          <w:tcPr>
            <w:tcW w:w="0" w:type="auto"/>
            <w:tcBorders>
              <w:bottom w:val="single" w:sz="4" w:space="0" w:color="auto"/>
              <w:right w:val="single" w:sz="4" w:space="0" w:color="auto"/>
            </w:tcBorders>
            <w:vAlign w:val="center"/>
            <w:hideMark/>
          </w:tcPr>
          <w:p w14:paraId="0FD8062A"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8 (16.0%)</w:t>
            </w:r>
          </w:p>
        </w:tc>
        <w:tc>
          <w:tcPr>
            <w:tcW w:w="0" w:type="auto"/>
            <w:tcBorders>
              <w:bottom w:val="single" w:sz="4" w:space="0" w:color="auto"/>
            </w:tcBorders>
            <w:vAlign w:val="center"/>
            <w:hideMark/>
          </w:tcPr>
          <w:p w14:paraId="6D71331A"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12 (24.0%)</w:t>
            </w:r>
          </w:p>
        </w:tc>
        <w:tc>
          <w:tcPr>
            <w:tcW w:w="0" w:type="auto"/>
            <w:tcBorders>
              <w:left w:val="single" w:sz="4" w:space="0" w:color="auto"/>
              <w:bottom w:val="single" w:sz="4" w:space="0" w:color="auto"/>
              <w:right w:val="single" w:sz="4" w:space="0" w:color="auto"/>
            </w:tcBorders>
            <w:vAlign w:val="center"/>
            <w:hideMark/>
          </w:tcPr>
          <w:p w14:paraId="2AC24EFA"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0.305</w:t>
            </w:r>
          </w:p>
        </w:tc>
      </w:tr>
      <w:tr w:rsidR="00D8096A" w:rsidRPr="009D3EC2" w14:paraId="6FA18A45" w14:textId="77777777" w:rsidTr="00A053E4">
        <w:trPr>
          <w:tblCellSpacing w:w="15" w:type="dxa"/>
        </w:trPr>
        <w:tc>
          <w:tcPr>
            <w:tcW w:w="0" w:type="auto"/>
            <w:tcBorders>
              <w:left w:val="single" w:sz="4" w:space="0" w:color="auto"/>
              <w:bottom w:val="single" w:sz="4" w:space="0" w:color="auto"/>
              <w:right w:val="single" w:sz="4" w:space="0" w:color="auto"/>
            </w:tcBorders>
            <w:vAlign w:val="center"/>
            <w:hideMark/>
          </w:tcPr>
          <w:p w14:paraId="2BA37C61" w14:textId="77777777" w:rsidR="00D8096A" w:rsidRPr="009D3EC2" w:rsidRDefault="00D8096A" w:rsidP="009D3EC2">
            <w:pPr>
              <w:spacing w:after="0" w:line="240" w:lineRule="auto"/>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Weight Gain (g)</w:t>
            </w:r>
          </w:p>
        </w:tc>
        <w:tc>
          <w:tcPr>
            <w:tcW w:w="0" w:type="auto"/>
            <w:tcBorders>
              <w:bottom w:val="single" w:sz="4" w:space="0" w:color="auto"/>
              <w:right w:val="single" w:sz="4" w:space="0" w:color="auto"/>
            </w:tcBorders>
            <w:vAlign w:val="center"/>
            <w:hideMark/>
          </w:tcPr>
          <w:p w14:paraId="39E76470"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21.5 ± 5.3</w:t>
            </w:r>
          </w:p>
        </w:tc>
        <w:tc>
          <w:tcPr>
            <w:tcW w:w="0" w:type="auto"/>
            <w:tcBorders>
              <w:bottom w:val="single" w:sz="4" w:space="0" w:color="auto"/>
            </w:tcBorders>
            <w:vAlign w:val="center"/>
            <w:hideMark/>
          </w:tcPr>
          <w:p w14:paraId="7D04F64C"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19.8 ± 5.9</w:t>
            </w:r>
          </w:p>
        </w:tc>
        <w:tc>
          <w:tcPr>
            <w:tcW w:w="0" w:type="auto"/>
            <w:tcBorders>
              <w:left w:val="single" w:sz="4" w:space="0" w:color="auto"/>
              <w:bottom w:val="single" w:sz="4" w:space="0" w:color="auto"/>
              <w:right w:val="single" w:sz="4" w:space="0" w:color="auto"/>
            </w:tcBorders>
            <w:vAlign w:val="center"/>
            <w:hideMark/>
          </w:tcPr>
          <w:p w14:paraId="4269CB1A" w14:textId="77777777" w:rsidR="00D8096A" w:rsidRPr="009D3EC2" w:rsidRDefault="00D8096A" w:rsidP="009D3EC2">
            <w:pPr>
              <w:spacing w:after="0" w:line="240" w:lineRule="auto"/>
              <w:jc w:val="center"/>
              <w:rPr>
                <w:rFonts w:asciiTheme="majorBidi" w:eastAsia="Times New Roman" w:hAnsiTheme="majorBidi" w:cstheme="majorBidi"/>
                <w:sz w:val="24"/>
                <w:szCs w:val="24"/>
                <w:lang w:val="en-US"/>
              </w:rPr>
            </w:pPr>
            <w:r w:rsidRPr="009D3EC2">
              <w:rPr>
                <w:rFonts w:asciiTheme="majorBidi" w:eastAsia="Times New Roman" w:hAnsiTheme="majorBidi" w:cstheme="majorBidi"/>
                <w:sz w:val="24"/>
                <w:szCs w:val="24"/>
                <w:lang w:val="en-US"/>
              </w:rPr>
              <w:t>0.150</w:t>
            </w:r>
          </w:p>
        </w:tc>
      </w:tr>
    </w:tbl>
    <w:p w14:paraId="23427380" w14:textId="77777777" w:rsidR="00D8096A" w:rsidRPr="00CA5AF1" w:rsidRDefault="00D8096A" w:rsidP="00CA5AF1">
      <w:pPr>
        <w:widowControl w:val="0"/>
        <w:autoSpaceDE w:val="0"/>
        <w:autoSpaceDN w:val="0"/>
        <w:adjustRightInd w:val="0"/>
        <w:spacing w:after="0" w:line="240" w:lineRule="auto"/>
        <w:rPr>
          <w:rFonts w:asciiTheme="majorBidi" w:eastAsia="Times New Roman" w:hAnsiTheme="majorBidi" w:cstheme="majorBidi"/>
          <w:lang w:val="en-US"/>
        </w:rPr>
      </w:pPr>
      <w:r w:rsidRPr="00CA5AF1">
        <w:rPr>
          <w:rFonts w:asciiTheme="majorBidi" w:eastAsia="Times New Roman" w:hAnsiTheme="majorBidi" w:cstheme="majorBidi"/>
          <w:b/>
          <w:bCs/>
          <w:lang w:val="en-US"/>
        </w:rPr>
        <w:t>Abbreviation.</w:t>
      </w:r>
      <w:r w:rsidRPr="00CA5AF1">
        <w:rPr>
          <w:rFonts w:asciiTheme="majorBidi" w:eastAsia="Times New Roman" w:hAnsiTheme="majorBidi" w:cstheme="majorBidi"/>
          <w:lang w:val="en-US"/>
        </w:rPr>
        <w:t xml:space="preserve"> NIV: Noninvasive Ventilation</w:t>
      </w:r>
    </w:p>
    <w:p w14:paraId="4755C7B2" w14:textId="77777777" w:rsidR="00D8096A" w:rsidRPr="00CA5AF1" w:rsidRDefault="00D8096A" w:rsidP="00CA5AF1">
      <w:pPr>
        <w:widowControl w:val="0"/>
        <w:autoSpaceDE w:val="0"/>
        <w:autoSpaceDN w:val="0"/>
        <w:adjustRightInd w:val="0"/>
        <w:spacing w:after="0" w:line="240" w:lineRule="auto"/>
        <w:rPr>
          <w:rFonts w:asciiTheme="majorBidi" w:eastAsia="Times New Roman" w:hAnsiTheme="majorBidi" w:cstheme="majorBidi"/>
          <w:lang w:val="en-US"/>
        </w:rPr>
      </w:pPr>
      <w:r w:rsidRPr="00CA5AF1">
        <w:rPr>
          <w:rFonts w:asciiTheme="majorBidi" w:eastAsia="Times New Roman" w:hAnsiTheme="majorBidi" w:cstheme="majorBidi"/>
          <w:lang w:val="en-US"/>
        </w:rPr>
        <w:t>Data represent as Mean ± SD or number (percentage).</w:t>
      </w:r>
    </w:p>
    <w:p w14:paraId="40DADB78" w14:textId="77777777" w:rsidR="00D8096A" w:rsidRPr="00CA5AF1" w:rsidRDefault="00D8096A" w:rsidP="00CA5AF1">
      <w:pPr>
        <w:widowControl w:val="0"/>
        <w:autoSpaceDE w:val="0"/>
        <w:autoSpaceDN w:val="0"/>
        <w:adjustRightInd w:val="0"/>
        <w:spacing w:after="0" w:line="240" w:lineRule="auto"/>
        <w:rPr>
          <w:rFonts w:asciiTheme="majorBidi" w:eastAsia="Times New Roman" w:hAnsiTheme="majorBidi" w:cstheme="majorBidi"/>
          <w:lang w:val="en-US"/>
        </w:rPr>
      </w:pPr>
      <w:r w:rsidRPr="00CA5AF1">
        <w:rPr>
          <w:rFonts w:asciiTheme="majorBidi" w:eastAsia="Calibri" w:hAnsiTheme="majorBidi" w:cstheme="majorBidi"/>
          <w:lang w:val="en-US"/>
        </w:rPr>
        <w:t>p: p value for comparing between the two studied groups.   *: Statistically significant at p ≤ 0.05</w:t>
      </w:r>
    </w:p>
    <w:p w14:paraId="27226256" w14:textId="6F26EF7F" w:rsidR="00D8096A" w:rsidRDefault="00D8096A" w:rsidP="002E2A1E">
      <w:pPr>
        <w:widowControl w:val="0"/>
        <w:autoSpaceDE w:val="0"/>
        <w:autoSpaceDN w:val="0"/>
        <w:adjustRightInd w:val="0"/>
        <w:spacing w:after="0" w:line="480" w:lineRule="auto"/>
        <w:rPr>
          <w:rFonts w:asciiTheme="majorBidi" w:hAnsiTheme="majorBidi" w:cstheme="majorBidi"/>
          <w:sz w:val="24"/>
          <w:szCs w:val="24"/>
        </w:rPr>
      </w:pPr>
    </w:p>
    <w:p w14:paraId="13DEF3BF" w14:textId="77777777" w:rsidR="00A053E4" w:rsidRPr="00A053E4" w:rsidRDefault="00A053E4" w:rsidP="00A053E4">
      <w:pPr>
        <w:widowControl w:val="0"/>
        <w:autoSpaceDE w:val="0"/>
        <w:autoSpaceDN w:val="0"/>
        <w:adjustRightInd w:val="0"/>
        <w:spacing w:after="0" w:line="480" w:lineRule="auto"/>
        <w:rPr>
          <w:rFonts w:asciiTheme="majorBidi" w:hAnsiTheme="majorBidi" w:cstheme="majorBidi"/>
          <w:sz w:val="24"/>
          <w:szCs w:val="24"/>
        </w:rPr>
      </w:pPr>
      <w:r w:rsidRPr="00A053E4">
        <w:rPr>
          <w:rFonts w:asciiTheme="majorBidi" w:hAnsiTheme="majorBidi" w:cstheme="majorBidi"/>
          <w:sz w:val="24"/>
          <w:szCs w:val="24"/>
        </w:rPr>
        <w:t>Table (2) represents a comparison of respiratory and feeding outcomes. The HFNC group had significantly shorter durations of respiratory support (p=0.045), supplemental oxygen (p=0.030), and hospital stay (p&lt;0.001). Time to initiate feeding and time to reach full enteral feeds were also significantly shorter in the HFNC group (p=0.030 and p=0.007, respectively). No significant differences were observed in feeding intolerance, weight gain, successful weaning, or need for mechanical ventilation.</w:t>
      </w:r>
    </w:p>
    <w:p w14:paraId="43BEDC63" w14:textId="057740E7" w:rsidR="00A053E4" w:rsidRPr="00A053E4" w:rsidRDefault="00A053E4" w:rsidP="002E2A1E">
      <w:pPr>
        <w:widowControl w:val="0"/>
        <w:autoSpaceDE w:val="0"/>
        <w:autoSpaceDN w:val="0"/>
        <w:adjustRightInd w:val="0"/>
        <w:spacing w:after="0" w:line="480" w:lineRule="auto"/>
        <w:rPr>
          <w:rFonts w:asciiTheme="majorBidi" w:hAnsiTheme="majorBidi" w:cstheme="majorBidi"/>
          <w:sz w:val="24"/>
          <w:szCs w:val="24"/>
        </w:rPr>
      </w:pPr>
    </w:p>
    <w:p w14:paraId="4B018B19" w14:textId="15422C3B" w:rsidR="00A053E4" w:rsidRDefault="00A053E4" w:rsidP="002E2A1E">
      <w:pPr>
        <w:widowControl w:val="0"/>
        <w:autoSpaceDE w:val="0"/>
        <w:autoSpaceDN w:val="0"/>
        <w:adjustRightInd w:val="0"/>
        <w:spacing w:after="0" w:line="480" w:lineRule="auto"/>
        <w:rPr>
          <w:rFonts w:asciiTheme="majorBidi" w:hAnsiTheme="majorBidi" w:cstheme="majorBidi"/>
          <w:sz w:val="24"/>
          <w:szCs w:val="24"/>
          <w:lang w:val="en-US"/>
        </w:rPr>
      </w:pPr>
    </w:p>
    <w:p w14:paraId="26A7875C" w14:textId="0400A98B" w:rsidR="00A053E4" w:rsidRDefault="00A053E4" w:rsidP="002E2A1E">
      <w:pPr>
        <w:widowControl w:val="0"/>
        <w:autoSpaceDE w:val="0"/>
        <w:autoSpaceDN w:val="0"/>
        <w:adjustRightInd w:val="0"/>
        <w:spacing w:after="0" w:line="480" w:lineRule="auto"/>
        <w:rPr>
          <w:rFonts w:asciiTheme="majorBidi" w:hAnsiTheme="majorBidi" w:cstheme="majorBidi"/>
          <w:sz w:val="24"/>
          <w:szCs w:val="24"/>
          <w:lang w:val="en-US"/>
        </w:rPr>
      </w:pPr>
    </w:p>
    <w:p w14:paraId="2874FA29" w14:textId="2AADC75F" w:rsidR="00A053E4" w:rsidRDefault="00A053E4" w:rsidP="002E2A1E">
      <w:pPr>
        <w:widowControl w:val="0"/>
        <w:autoSpaceDE w:val="0"/>
        <w:autoSpaceDN w:val="0"/>
        <w:adjustRightInd w:val="0"/>
        <w:spacing w:after="0" w:line="480" w:lineRule="auto"/>
        <w:rPr>
          <w:rFonts w:asciiTheme="majorBidi" w:hAnsiTheme="majorBidi" w:cstheme="majorBidi"/>
          <w:sz w:val="24"/>
          <w:szCs w:val="24"/>
          <w:lang w:val="en-US"/>
        </w:rPr>
      </w:pPr>
    </w:p>
    <w:p w14:paraId="4D12AE03" w14:textId="77777777" w:rsidR="00A053E4" w:rsidRPr="00A053E4" w:rsidRDefault="00A053E4" w:rsidP="002E2A1E">
      <w:pPr>
        <w:widowControl w:val="0"/>
        <w:autoSpaceDE w:val="0"/>
        <w:autoSpaceDN w:val="0"/>
        <w:adjustRightInd w:val="0"/>
        <w:spacing w:after="0" w:line="480" w:lineRule="auto"/>
        <w:rPr>
          <w:rFonts w:asciiTheme="majorBidi" w:hAnsiTheme="majorBidi" w:cstheme="majorBidi"/>
          <w:sz w:val="24"/>
          <w:szCs w:val="24"/>
          <w:lang w:val="en-US"/>
        </w:rPr>
      </w:pPr>
    </w:p>
    <w:p w14:paraId="5D6268D6" w14:textId="1390B6C9" w:rsidR="00A053E4" w:rsidRPr="00EF1BEC" w:rsidRDefault="00A053E4" w:rsidP="00A053E4">
      <w:pPr>
        <w:widowControl w:val="0"/>
        <w:autoSpaceDE w:val="0"/>
        <w:autoSpaceDN w:val="0"/>
        <w:spacing w:line="240" w:lineRule="auto"/>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p>
    <w:p w14:paraId="7E18C616" w14:textId="77777777" w:rsidR="00D8096A" w:rsidRPr="00EF1BEC" w:rsidRDefault="00D8096A" w:rsidP="00EF1BEC">
      <w:pPr>
        <w:widowControl w:val="0"/>
        <w:autoSpaceDE w:val="0"/>
        <w:autoSpaceDN w:val="0"/>
        <w:spacing w:before="100" w:beforeAutospacing="1" w:after="100" w:afterAutospacing="1" w:line="240" w:lineRule="auto"/>
        <w:rPr>
          <w:rFonts w:asciiTheme="majorBidi" w:eastAsia="Times New Roman" w:hAnsiTheme="majorBidi" w:cstheme="majorBidi"/>
          <w:sz w:val="24"/>
          <w:szCs w:val="24"/>
          <w:lang w:val="en-US"/>
        </w:rPr>
      </w:pPr>
      <w:r w:rsidRPr="00EF1BEC">
        <w:rPr>
          <w:rFonts w:asciiTheme="majorBidi" w:eastAsia="Times New Roman" w:hAnsiTheme="majorBidi" w:cstheme="majorBidi"/>
          <w:noProof/>
          <w:sz w:val="24"/>
          <w:szCs w:val="24"/>
          <w:lang w:val="en-US"/>
        </w:rPr>
        <w:drawing>
          <wp:inline distT="0" distB="0" distL="0" distR="0" wp14:anchorId="716AB27C" wp14:editId="2DBC2956">
            <wp:extent cx="6038850" cy="4210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c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38850" cy="4210050"/>
                    </a:xfrm>
                    <a:prstGeom prst="rect">
                      <a:avLst/>
                    </a:prstGeom>
                  </pic:spPr>
                </pic:pic>
              </a:graphicData>
            </a:graphic>
          </wp:inline>
        </w:drawing>
      </w:r>
    </w:p>
    <w:p w14:paraId="55ED5ABC" w14:textId="005AE7BE" w:rsidR="00A053E4" w:rsidRDefault="00A053E4" w:rsidP="00A053E4">
      <w:pPr>
        <w:widowControl w:val="0"/>
        <w:autoSpaceDE w:val="0"/>
        <w:autoSpaceDN w:val="0"/>
        <w:spacing w:line="480" w:lineRule="auto"/>
        <w:jc w:val="both"/>
        <w:rPr>
          <w:rFonts w:asciiTheme="majorBidi" w:eastAsia="Times New Roman" w:hAnsiTheme="majorBidi" w:cstheme="majorBidi"/>
          <w:sz w:val="24"/>
          <w:szCs w:val="24"/>
          <w:lang w:val="en-US"/>
        </w:rPr>
      </w:pPr>
      <w:r w:rsidRPr="00A053E4">
        <w:rPr>
          <w:rFonts w:asciiTheme="majorBidi" w:eastAsia="Times New Roman" w:hAnsiTheme="majorBidi" w:cstheme="majorBidi"/>
          <w:sz w:val="24"/>
          <w:szCs w:val="24"/>
          <w:lang w:val="en-US"/>
        </w:rPr>
        <w:t>Figure (2): Comparison between the studied groups regarding complications</w:t>
      </w:r>
      <w:r>
        <w:rPr>
          <w:rFonts w:asciiTheme="majorBidi" w:eastAsia="Times New Roman" w:hAnsiTheme="majorBidi" w:cstheme="majorBidi"/>
          <w:sz w:val="24"/>
          <w:szCs w:val="24"/>
          <w:lang w:val="en-US"/>
        </w:rPr>
        <w:t>.</w:t>
      </w:r>
    </w:p>
    <w:p w14:paraId="4C7CB296" w14:textId="31C10BC5" w:rsidR="00A053E4" w:rsidRPr="00EF1BEC" w:rsidRDefault="00A053E4" w:rsidP="00A053E4">
      <w:pPr>
        <w:widowControl w:val="0"/>
        <w:autoSpaceDE w:val="0"/>
        <w:autoSpaceDN w:val="0"/>
        <w:spacing w:line="480" w:lineRule="auto"/>
        <w:jc w:val="both"/>
        <w:rPr>
          <w:rFonts w:asciiTheme="majorBidi" w:eastAsia="Times New Roman" w:hAnsiTheme="majorBidi" w:cstheme="majorBidi"/>
          <w:sz w:val="24"/>
          <w:szCs w:val="24"/>
          <w:lang w:val="en-US"/>
        </w:rPr>
      </w:pPr>
      <w:r w:rsidRPr="00EF1BEC">
        <w:rPr>
          <w:rFonts w:asciiTheme="majorBidi" w:eastAsia="Times New Roman" w:hAnsiTheme="majorBidi" w:cstheme="majorBidi"/>
          <w:sz w:val="24"/>
          <w:szCs w:val="24"/>
          <w:lang w:val="en-US"/>
        </w:rPr>
        <w:t>Figure 2 shows complication rates for 100 preterm infants (50 HFNC, 50 nCPAP). The HFNC group consistently showed lower rates across all complications, including nasal trauma (6% vs 16%), apnea (8% vs 18%), pneumonia (4% vs 12%), bronchopulmonary dysplasia (10% vs 20%), necrotizing enterocolitis (2% vs 10%), and neonatal sepsis (4% vs 14%), but without a statistical significant differences between the two groups.</w:t>
      </w:r>
    </w:p>
    <w:p w14:paraId="5D9C47EE" w14:textId="505BEFDA" w:rsidR="00D8096A" w:rsidRDefault="00D8096A" w:rsidP="002E2A1E">
      <w:pPr>
        <w:widowControl w:val="0"/>
        <w:autoSpaceDE w:val="0"/>
        <w:autoSpaceDN w:val="0"/>
        <w:adjustRightInd w:val="0"/>
        <w:spacing w:after="0" w:line="480" w:lineRule="auto"/>
        <w:rPr>
          <w:rFonts w:asciiTheme="majorBidi" w:hAnsiTheme="majorBidi" w:cstheme="majorBidi"/>
          <w:sz w:val="24"/>
          <w:szCs w:val="24"/>
          <w:lang w:val="en-US"/>
        </w:rPr>
      </w:pPr>
    </w:p>
    <w:p w14:paraId="720D6226" w14:textId="067B317C" w:rsidR="00A053E4" w:rsidRDefault="00A053E4" w:rsidP="002E2A1E">
      <w:pPr>
        <w:widowControl w:val="0"/>
        <w:autoSpaceDE w:val="0"/>
        <w:autoSpaceDN w:val="0"/>
        <w:adjustRightInd w:val="0"/>
        <w:spacing w:after="0" w:line="480" w:lineRule="auto"/>
        <w:rPr>
          <w:rFonts w:asciiTheme="majorBidi" w:hAnsiTheme="majorBidi" w:cstheme="majorBidi"/>
          <w:sz w:val="24"/>
          <w:szCs w:val="24"/>
          <w:lang w:val="en-US"/>
        </w:rPr>
      </w:pPr>
    </w:p>
    <w:p w14:paraId="3F262841" w14:textId="35E32705" w:rsidR="00A053E4" w:rsidRDefault="00A053E4" w:rsidP="002E2A1E">
      <w:pPr>
        <w:widowControl w:val="0"/>
        <w:autoSpaceDE w:val="0"/>
        <w:autoSpaceDN w:val="0"/>
        <w:adjustRightInd w:val="0"/>
        <w:spacing w:after="0" w:line="480" w:lineRule="auto"/>
        <w:rPr>
          <w:rFonts w:asciiTheme="majorBidi" w:hAnsiTheme="majorBidi" w:cstheme="majorBidi"/>
          <w:sz w:val="24"/>
          <w:szCs w:val="24"/>
          <w:lang w:val="en-US"/>
        </w:rPr>
      </w:pPr>
    </w:p>
    <w:p w14:paraId="665CC9C0" w14:textId="77777777" w:rsidR="00A053E4" w:rsidRPr="00280DEB" w:rsidRDefault="00A053E4" w:rsidP="002E2A1E">
      <w:pPr>
        <w:widowControl w:val="0"/>
        <w:autoSpaceDE w:val="0"/>
        <w:autoSpaceDN w:val="0"/>
        <w:adjustRightInd w:val="0"/>
        <w:spacing w:after="0" w:line="480" w:lineRule="auto"/>
        <w:rPr>
          <w:rFonts w:asciiTheme="majorBidi" w:hAnsiTheme="majorBidi" w:cstheme="majorBidi"/>
          <w:sz w:val="24"/>
          <w:szCs w:val="24"/>
          <w:lang w:val="en-US"/>
        </w:rPr>
      </w:pPr>
    </w:p>
    <w:p w14:paraId="0CC1BCDC" w14:textId="77777777" w:rsidR="00D8096A" w:rsidRPr="00D01E33" w:rsidRDefault="00D8096A" w:rsidP="00280DEB">
      <w:pPr>
        <w:spacing w:before="100" w:beforeAutospacing="1" w:after="100" w:afterAutospacing="1" w:line="240" w:lineRule="auto"/>
        <w:outlineLvl w:val="2"/>
        <w:rPr>
          <w:rFonts w:asciiTheme="majorBidi" w:eastAsia="Times New Roman" w:hAnsiTheme="majorBidi" w:cstheme="majorBidi"/>
          <w:b/>
          <w:bCs/>
          <w:sz w:val="24"/>
          <w:szCs w:val="24"/>
          <w:lang w:val="en-US"/>
        </w:rPr>
      </w:pPr>
      <w:r w:rsidRPr="00D01E33">
        <w:rPr>
          <w:rFonts w:asciiTheme="majorBidi" w:eastAsia="Times New Roman" w:hAnsiTheme="majorBidi" w:cstheme="majorBidi"/>
          <w:b/>
          <w:bCs/>
          <w:sz w:val="24"/>
          <w:szCs w:val="24"/>
          <w:lang w:val="en-US"/>
        </w:rPr>
        <w:t>Table 3: Complications and Laboratory Findings</w:t>
      </w:r>
      <w:r w:rsidRPr="00280DEB">
        <w:rPr>
          <w:rFonts w:asciiTheme="majorBidi" w:eastAsia="Times New Roman" w:hAnsiTheme="majorBidi" w:cstheme="majorBidi"/>
          <w:b/>
          <w:bCs/>
          <w:sz w:val="24"/>
          <w:szCs w:val="24"/>
          <w:lang w:val="en-US"/>
        </w:rPr>
        <w:t xml:space="preserve"> of the studied groups.</w:t>
      </w:r>
    </w:p>
    <w:tbl>
      <w:tblPr>
        <w:tblW w:w="9459" w:type="dxa"/>
        <w:tblCellSpacing w:w="15" w:type="dxa"/>
        <w:tblCellMar>
          <w:top w:w="15" w:type="dxa"/>
          <w:left w:w="15" w:type="dxa"/>
          <w:bottom w:w="15" w:type="dxa"/>
          <w:right w:w="15" w:type="dxa"/>
        </w:tblCellMar>
        <w:tblLook w:val="04A0" w:firstRow="1" w:lastRow="0" w:firstColumn="1" w:lastColumn="0" w:noHBand="0" w:noVBand="1"/>
      </w:tblPr>
      <w:tblGrid>
        <w:gridCol w:w="3185"/>
        <w:gridCol w:w="2602"/>
        <w:gridCol w:w="2711"/>
        <w:gridCol w:w="961"/>
      </w:tblGrid>
      <w:tr w:rsidR="00D8096A" w:rsidRPr="00D01E33" w14:paraId="4745BC1F" w14:textId="77777777" w:rsidTr="00D01E33">
        <w:trPr>
          <w:trHeight w:val="270"/>
          <w:tblHeader/>
          <w:tblCellSpacing w:w="15" w:type="dxa"/>
        </w:trPr>
        <w:tc>
          <w:tcPr>
            <w:tcW w:w="0" w:type="auto"/>
            <w:vAlign w:val="center"/>
            <w:hideMark/>
          </w:tcPr>
          <w:p w14:paraId="7F76E93C" w14:textId="77777777" w:rsidR="00D8096A" w:rsidRPr="00D01E33" w:rsidRDefault="00D8096A" w:rsidP="00D01E33">
            <w:pPr>
              <w:spacing w:after="0" w:line="240" w:lineRule="auto"/>
              <w:jc w:val="center"/>
              <w:rPr>
                <w:rFonts w:asciiTheme="majorBidi" w:eastAsia="Times New Roman" w:hAnsiTheme="majorBidi" w:cstheme="majorBidi"/>
                <w:b/>
                <w:bCs/>
                <w:sz w:val="24"/>
                <w:szCs w:val="24"/>
                <w:lang w:val="en-US"/>
              </w:rPr>
            </w:pPr>
            <w:r w:rsidRPr="00D01E33">
              <w:rPr>
                <w:rFonts w:asciiTheme="majorBidi" w:eastAsia="Times New Roman" w:hAnsiTheme="majorBidi" w:cstheme="majorBidi"/>
                <w:b/>
                <w:bCs/>
                <w:sz w:val="24"/>
                <w:szCs w:val="24"/>
                <w:lang w:val="en-US"/>
              </w:rPr>
              <w:t>Variable</w:t>
            </w:r>
          </w:p>
        </w:tc>
        <w:tc>
          <w:tcPr>
            <w:tcW w:w="0" w:type="auto"/>
            <w:vAlign w:val="center"/>
            <w:hideMark/>
          </w:tcPr>
          <w:p w14:paraId="0FDE8E2C" w14:textId="77777777" w:rsidR="00D8096A" w:rsidRPr="00D01E33" w:rsidRDefault="00D8096A" w:rsidP="00D01E33">
            <w:pPr>
              <w:spacing w:after="0" w:line="240" w:lineRule="auto"/>
              <w:jc w:val="center"/>
              <w:rPr>
                <w:rFonts w:asciiTheme="majorBidi" w:eastAsia="Times New Roman" w:hAnsiTheme="majorBidi" w:cstheme="majorBidi"/>
                <w:b/>
                <w:bCs/>
                <w:sz w:val="24"/>
                <w:szCs w:val="24"/>
                <w:lang w:val="en-US"/>
              </w:rPr>
            </w:pPr>
            <w:r w:rsidRPr="00D01E33">
              <w:rPr>
                <w:rFonts w:asciiTheme="majorBidi" w:eastAsia="Times New Roman" w:hAnsiTheme="majorBidi" w:cstheme="majorBidi"/>
                <w:b/>
                <w:bCs/>
                <w:sz w:val="24"/>
                <w:szCs w:val="24"/>
                <w:lang w:val="en-US"/>
              </w:rPr>
              <w:t>HFNC Group (N=50)</w:t>
            </w:r>
          </w:p>
        </w:tc>
        <w:tc>
          <w:tcPr>
            <w:tcW w:w="0" w:type="auto"/>
            <w:vAlign w:val="center"/>
            <w:hideMark/>
          </w:tcPr>
          <w:p w14:paraId="6800ECB2" w14:textId="77777777" w:rsidR="00D8096A" w:rsidRPr="00D01E33" w:rsidRDefault="00D8096A" w:rsidP="00D01E33">
            <w:pPr>
              <w:spacing w:after="0" w:line="240" w:lineRule="auto"/>
              <w:jc w:val="center"/>
              <w:rPr>
                <w:rFonts w:asciiTheme="majorBidi" w:eastAsia="Times New Roman" w:hAnsiTheme="majorBidi" w:cstheme="majorBidi"/>
                <w:b/>
                <w:bCs/>
                <w:sz w:val="24"/>
                <w:szCs w:val="24"/>
                <w:lang w:val="en-US"/>
              </w:rPr>
            </w:pPr>
            <w:r w:rsidRPr="00D01E33">
              <w:rPr>
                <w:rFonts w:asciiTheme="majorBidi" w:eastAsia="Times New Roman" w:hAnsiTheme="majorBidi" w:cstheme="majorBidi"/>
                <w:b/>
                <w:bCs/>
                <w:sz w:val="24"/>
                <w:szCs w:val="24"/>
                <w:lang w:val="en-US"/>
              </w:rPr>
              <w:t>nCPAP Group (N=50)</w:t>
            </w:r>
          </w:p>
        </w:tc>
        <w:tc>
          <w:tcPr>
            <w:tcW w:w="0" w:type="auto"/>
            <w:vAlign w:val="center"/>
            <w:hideMark/>
          </w:tcPr>
          <w:p w14:paraId="06856A25" w14:textId="77777777" w:rsidR="00D8096A" w:rsidRPr="00D01E33" w:rsidRDefault="00D8096A" w:rsidP="00D01E33">
            <w:pPr>
              <w:spacing w:after="0" w:line="240" w:lineRule="auto"/>
              <w:jc w:val="center"/>
              <w:rPr>
                <w:rFonts w:asciiTheme="majorBidi" w:eastAsia="Times New Roman" w:hAnsiTheme="majorBidi" w:cstheme="majorBidi"/>
                <w:b/>
                <w:bCs/>
                <w:sz w:val="24"/>
                <w:szCs w:val="24"/>
                <w:lang w:val="en-US"/>
              </w:rPr>
            </w:pPr>
            <w:r w:rsidRPr="00D01E33">
              <w:rPr>
                <w:rFonts w:asciiTheme="majorBidi" w:eastAsia="Times New Roman" w:hAnsiTheme="majorBidi" w:cstheme="majorBidi"/>
                <w:b/>
                <w:bCs/>
                <w:sz w:val="24"/>
                <w:szCs w:val="24"/>
                <w:lang w:val="en-US"/>
              </w:rPr>
              <w:t>p-value</w:t>
            </w:r>
          </w:p>
        </w:tc>
      </w:tr>
      <w:tr w:rsidR="00D8096A" w:rsidRPr="00D01E33" w14:paraId="43C568A0" w14:textId="77777777" w:rsidTr="00E07138">
        <w:trPr>
          <w:trHeight w:val="285"/>
          <w:tblCellSpacing w:w="15" w:type="dxa"/>
        </w:trPr>
        <w:tc>
          <w:tcPr>
            <w:tcW w:w="0" w:type="auto"/>
            <w:hideMark/>
          </w:tcPr>
          <w:p w14:paraId="594ED152" w14:textId="77777777" w:rsidR="00D8096A" w:rsidRPr="00F43F26" w:rsidRDefault="00D8096A" w:rsidP="00D01E33">
            <w:pPr>
              <w:spacing w:after="0" w:line="240" w:lineRule="auto"/>
              <w:rPr>
                <w:rFonts w:asciiTheme="majorBidi" w:eastAsia="Times New Roman" w:hAnsiTheme="majorBidi" w:cstheme="majorBidi"/>
                <w:b/>
                <w:bCs/>
                <w:sz w:val="24"/>
                <w:szCs w:val="24"/>
              </w:rPr>
            </w:pPr>
            <w:r w:rsidRPr="00F43F26">
              <w:rPr>
                <w:rFonts w:asciiTheme="majorBidi" w:eastAsia="Times New Roman" w:hAnsiTheme="majorBidi" w:cstheme="majorBidi"/>
                <w:b/>
                <w:bCs/>
                <w:sz w:val="24"/>
                <w:szCs w:val="24"/>
              </w:rPr>
              <w:t>Blood glucose (mg/dl)</w:t>
            </w:r>
          </w:p>
        </w:tc>
        <w:tc>
          <w:tcPr>
            <w:tcW w:w="0" w:type="auto"/>
            <w:hideMark/>
          </w:tcPr>
          <w:p w14:paraId="3FC10B62"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105.96 ± 27.37</w:t>
            </w:r>
          </w:p>
        </w:tc>
        <w:tc>
          <w:tcPr>
            <w:tcW w:w="0" w:type="auto"/>
            <w:hideMark/>
          </w:tcPr>
          <w:p w14:paraId="6BDE8B36"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96.56 ± 24.25</w:t>
            </w:r>
          </w:p>
        </w:tc>
        <w:tc>
          <w:tcPr>
            <w:tcW w:w="0" w:type="auto"/>
            <w:hideMark/>
          </w:tcPr>
          <w:p w14:paraId="538F83F0"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0.096</w:t>
            </w:r>
          </w:p>
        </w:tc>
      </w:tr>
      <w:tr w:rsidR="00D8096A" w:rsidRPr="00D01E33" w14:paraId="52767EBC" w14:textId="77777777" w:rsidTr="00E07138">
        <w:trPr>
          <w:trHeight w:val="270"/>
          <w:tblCellSpacing w:w="15" w:type="dxa"/>
        </w:trPr>
        <w:tc>
          <w:tcPr>
            <w:tcW w:w="0" w:type="auto"/>
            <w:hideMark/>
          </w:tcPr>
          <w:p w14:paraId="074BA52F" w14:textId="77777777" w:rsidR="00D8096A" w:rsidRPr="00F43F26" w:rsidRDefault="00D8096A" w:rsidP="00D01E33">
            <w:pPr>
              <w:spacing w:after="0" w:line="240" w:lineRule="auto"/>
              <w:rPr>
                <w:rFonts w:asciiTheme="majorBidi" w:eastAsia="Times New Roman" w:hAnsiTheme="majorBidi" w:cstheme="majorBidi"/>
                <w:b/>
                <w:bCs/>
                <w:sz w:val="24"/>
                <w:szCs w:val="24"/>
              </w:rPr>
            </w:pPr>
            <w:r w:rsidRPr="00F43F26">
              <w:rPr>
                <w:rFonts w:asciiTheme="majorBidi" w:eastAsia="Times New Roman" w:hAnsiTheme="majorBidi" w:cstheme="majorBidi"/>
                <w:b/>
                <w:bCs/>
                <w:sz w:val="24"/>
                <w:szCs w:val="24"/>
              </w:rPr>
              <w:t>CRP</w:t>
            </w:r>
            <w:r w:rsidRPr="00F43F26">
              <w:rPr>
                <w:rFonts w:asciiTheme="majorBidi" w:eastAsia="Times New Roman" w:hAnsiTheme="majorBidi" w:cstheme="majorBidi"/>
                <w:b/>
                <w:bCs/>
                <w:sz w:val="24"/>
                <w:szCs w:val="24"/>
                <w:rtl/>
              </w:rPr>
              <w:t xml:space="preserve"> </w:t>
            </w:r>
            <w:r w:rsidRPr="00F43F26">
              <w:rPr>
                <w:rFonts w:asciiTheme="majorBidi" w:eastAsia="Times New Roman" w:hAnsiTheme="majorBidi" w:cstheme="majorBidi"/>
                <w:b/>
                <w:bCs/>
                <w:sz w:val="24"/>
                <w:szCs w:val="24"/>
              </w:rPr>
              <w:t xml:space="preserve"> (mg/dl)</w:t>
            </w:r>
          </w:p>
        </w:tc>
        <w:tc>
          <w:tcPr>
            <w:tcW w:w="0" w:type="auto"/>
            <w:hideMark/>
          </w:tcPr>
          <w:p w14:paraId="7C0CB47E"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0.23 ± 0.03</w:t>
            </w:r>
          </w:p>
        </w:tc>
        <w:tc>
          <w:tcPr>
            <w:tcW w:w="0" w:type="auto"/>
            <w:hideMark/>
          </w:tcPr>
          <w:p w14:paraId="0E753D5D"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w:t>
            </w:r>
            <w:r w:rsidRPr="00F43F26">
              <w:rPr>
                <w:rFonts w:asciiTheme="majorBidi" w:eastAsia="Times New Roman" w:hAnsiTheme="majorBidi" w:cstheme="majorBidi"/>
                <w:sz w:val="24"/>
                <w:szCs w:val="24"/>
                <w:rtl/>
              </w:rPr>
              <w:t>19</w:t>
            </w:r>
            <w:r w:rsidRPr="00F43F26">
              <w:rPr>
                <w:rFonts w:asciiTheme="majorBidi" w:eastAsia="Times New Roman" w:hAnsiTheme="majorBidi" w:cstheme="majorBidi"/>
                <w:sz w:val="24"/>
                <w:szCs w:val="24"/>
              </w:rPr>
              <w:t xml:space="preserve"> ± 0.0</w:t>
            </w:r>
            <w:r w:rsidRPr="00F43F26">
              <w:rPr>
                <w:rFonts w:asciiTheme="majorBidi" w:eastAsia="Times New Roman" w:hAnsiTheme="majorBidi" w:cstheme="majorBidi"/>
                <w:sz w:val="24"/>
                <w:szCs w:val="24"/>
                <w:rtl/>
              </w:rPr>
              <w:t>1</w:t>
            </w:r>
          </w:p>
        </w:tc>
        <w:tc>
          <w:tcPr>
            <w:tcW w:w="0" w:type="auto"/>
            <w:hideMark/>
          </w:tcPr>
          <w:p w14:paraId="42BFC85D"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0.529</w:t>
            </w:r>
          </w:p>
        </w:tc>
      </w:tr>
      <w:tr w:rsidR="00D8096A" w:rsidRPr="00280DEB" w14:paraId="091C62C3" w14:textId="77777777" w:rsidTr="00E07138">
        <w:trPr>
          <w:trHeight w:val="285"/>
          <w:tblCellSpacing w:w="15" w:type="dxa"/>
        </w:trPr>
        <w:tc>
          <w:tcPr>
            <w:tcW w:w="0" w:type="auto"/>
            <w:shd w:val="clear" w:color="auto" w:fill="D9D9D9"/>
            <w:hideMark/>
          </w:tcPr>
          <w:p w14:paraId="26E8E22B" w14:textId="77777777" w:rsidR="00D8096A" w:rsidRPr="00F43F26" w:rsidRDefault="00D8096A" w:rsidP="00D01E33">
            <w:pPr>
              <w:spacing w:after="0" w:line="240" w:lineRule="auto"/>
              <w:rPr>
                <w:rFonts w:asciiTheme="majorBidi" w:eastAsia="Times New Roman" w:hAnsiTheme="majorBidi" w:cstheme="majorBidi"/>
                <w:b/>
                <w:bCs/>
                <w:sz w:val="24"/>
                <w:szCs w:val="24"/>
              </w:rPr>
            </w:pPr>
            <w:r w:rsidRPr="00F43F26">
              <w:rPr>
                <w:rFonts w:asciiTheme="majorBidi" w:eastAsia="Times New Roman" w:hAnsiTheme="majorBidi" w:cstheme="majorBidi"/>
                <w:b/>
                <w:bCs/>
                <w:sz w:val="24"/>
                <w:szCs w:val="24"/>
              </w:rPr>
              <w:t>CBC</w:t>
            </w:r>
          </w:p>
        </w:tc>
        <w:tc>
          <w:tcPr>
            <w:tcW w:w="0" w:type="auto"/>
            <w:shd w:val="clear" w:color="auto" w:fill="D9D9D9"/>
            <w:hideMark/>
          </w:tcPr>
          <w:p w14:paraId="4F39465D" w14:textId="77777777" w:rsidR="00D8096A" w:rsidRPr="00F43F26" w:rsidRDefault="00D8096A" w:rsidP="00D01E33">
            <w:pPr>
              <w:spacing w:after="0" w:line="240" w:lineRule="auto"/>
              <w:jc w:val="center"/>
              <w:rPr>
                <w:rFonts w:asciiTheme="majorBidi" w:eastAsia="Times New Roman" w:hAnsiTheme="majorBidi" w:cstheme="majorBidi"/>
                <w:b/>
                <w:bCs/>
                <w:sz w:val="24"/>
                <w:szCs w:val="24"/>
              </w:rPr>
            </w:pPr>
          </w:p>
        </w:tc>
        <w:tc>
          <w:tcPr>
            <w:tcW w:w="0" w:type="auto"/>
            <w:shd w:val="clear" w:color="auto" w:fill="D9D9D9"/>
            <w:hideMark/>
          </w:tcPr>
          <w:p w14:paraId="634D4735" w14:textId="77777777" w:rsidR="00D8096A" w:rsidRPr="00F43F26" w:rsidRDefault="00D8096A" w:rsidP="00D01E33">
            <w:pPr>
              <w:spacing w:after="0" w:line="240" w:lineRule="auto"/>
              <w:jc w:val="center"/>
              <w:rPr>
                <w:rFonts w:asciiTheme="majorBidi" w:eastAsia="Times New Roman" w:hAnsiTheme="majorBidi" w:cstheme="majorBidi"/>
                <w:b/>
                <w:bCs/>
                <w:sz w:val="24"/>
                <w:szCs w:val="24"/>
              </w:rPr>
            </w:pPr>
          </w:p>
        </w:tc>
        <w:tc>
          <w:tcPr>
            <w:tcW w:w="0" w:type="auto"/>
            <w:shd w:val="clear" w:color="auto" w:fill="D9D9D9"/>
            <w:hideMark/>
          </w:tcPr>
          <w:p w14:paraId="26B1ABE6" w14:textId="77777777" w:rsidR="00D8096A" w:rsidRPr="00F43F26" w:rsidRDefault="00D8096A" w:rsidP="00D01E33">
            <w:pPr>
              <w:spacing w:after="0" w:line="240" w:lineRule="auto"/>
              <w:jc w:val="center"/>
              <w:rPr>
                <w:rFonts w:asciiTheme="majorBidi" w:eastAsia="Times New Roman" w:hAnsiTheme="majorBidi" w:cstheme="majorBidi"/>
                <w:b/>
                <w:bCs/>
                <w:sz w:val="24"/>
                <w:szCs w:val="24"/>
              </w:rPr>
            </w:pPr>
          </w:p>
        </w:tc>
      </w:tr>
      <w:tr w:rsidR="00D8096A" w:rsidRPr="00D01E33" w14:paraId="402C9D89" w14:textId="77777777" w:rsidTr="00E07138">
        <w:trPr>
          <w:trHeight w:val="270"/>
          <w:tblCellSpacing w:w="15" w:type="dxa"/>
        </w:trPr>
        <w:tc>
          <w:tcPr>
            <w:tcW w:w="0" w:type="auto"/>
            <w:vAlign w:val="center"/>
            <w:hideMark/>
          </w:tcPr>
          <w:p w14:paraId="21057BE7" w14:textId="77777777" w:rsidR="00D8096A" w:rsidRPr="00F43F26" w:rsidRDefault="00D8096A" w:rsidP="00D01E33">
            <w:pPr>
              <w:spacing w:after="0" w:line="240" w:lineRule="auto"/>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WBC (×10³/µL)</w:t>
            </w:r>
          </w:p>
        </w:tc>
        <w:tc>
          <w:tcPr>
            <w:tcW w:w="0" w:type="auto"/>
            <w:hideMark/>
          </w:tcPr>
          <w:p w14:paraId="6A6F1512"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14.84 ± 20.59</w:t>
            </w:r>
          </w:p>
        </w:tc>
        <w:tc>
          <w:tcPr>
            <w:tcW w:w="0" w:type="auto"/>
            <w:hideMark/>
          </w:tcPr>
          <w:p w14:paraId="428850AB"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12.02 ± 6.89</w:t>
            </w:r>
          </w:p>
        </w:tc>
        <w:tc>
          <w:tcPr>
            <w:tcW w:w="0" w:type="auto"/>
            <w:hideMark/>
          </w:tcPr>
          <w:p w14:paraId="028B9700"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0.287</w:t>
            </w:r>
          </w:p>
        </w:tc>
      </w:tr>
      <w:tr w:rsidR="00D8096A" w:rsidRPr="00D01E33" w14:paraId="1CF82A65" w14:textId="77777777" w:rsidTr="00E07138">
        <w:trPr>
          <w:trHeight w:val="270"/>
          <w:tblCellSpacing w:w="15" w:type="dxa"/>
        </w:trPr>
        <w:tc>
          <w:tcPr>
            <w:tcW w:w="0" w:type="auto"/>
            <w:vAlign w:val="center"/>
            <w:hideMark/>
          </w:tcPr>
          <w:p w14:paraId="0AA47601" w14:textId="77777777" w:rsidR="00D8096A" w:rsidRPr="00F43F26" w:rsidRDefault="00D8096A" w:rsidP="00D01E33">
            <w:pPr>
              <w:spacing w:after="0" w:line="240" w:lineRule="auto"/>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HB (g/dL)</w:t>
            </w:r>
          </w:p>
        </w:tc>
        <w:tc>
          <w:tcPr>
            <w:tcW w:w="0" w:type="auto"/>
            <w:hideMark/>
          </w:tcPr>
          <w:p w14:paraId="624FB7B0"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14.64 ± 3.12</w:t>
            </w:r>
          </w:p>
        </w:tc>
        <w:tc>
          <w:tcPr>
            <w:tcW w:w="0" w:type="auto"/>
            <w:hideMark/>
          </w:tcPr>
          <w:p w14:paraId="2746C50A"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15.58 ± 2.86</w:t>
            </w:r>
          </w:p>
        </w:tc>
        <w:tc>
          <w:tcPr>
            <w:tcW w:w="0" w:type="auto"/>
            <w:hideMark/>
          </w:tcPr>
          <w:p w14:paraId="6101CBE6"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0.139</w:t>
            </w:r>
          </w:p>
        </w:tc>
      </w:tr>
      <w:tr w:rsidR="00D8096A" w:rsidRPr="00D01E33" w14:paraId="474FFF0B" w14:textId="77777777" w:rsidTr="00E07138">
        <w:trPr>
          <w:trHeight w:val="285"/>
          <w:tblCellSpacing w:w="15" w:type="dxa"/>
        </w:trPr>
        <w:tc>
          <w:tcPr>
            <w:tcW w:w="0" w:type="auto"/>
            <w:vAlign w:val="center"/>
            <w:hideMark/>
          </w:tcPr>
          <w:p w14:paraId="777F377C" w14:textId="77777777" w:rsidR="00D8096A" w:rsidRPr="00F43F26" w:rsidRDefault="00D8096A" w:rsidP="00D01E33">
            <w:pPr>
              <w:spacing w:after="0" w:line="240" w:lineRule="auto"/>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Hematocrit (%)</w:t>
            </w:r>
          </w:p>
        </w:tc>
        <w:tc>
          <w:tcPr>
            <w:tcW w:w="0" w:type="auto"/>
            <w:hideMark/>
          </w:tcPr>
          <w:p w14:paraId="6680853C"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47.43 ± 31.03</w:t>
            </w:r>
          </w:p>
        </w:tc>
        <w:tc>
          <w:tcPr>
            <w:tcW w:w="0" w:type="auto"/>
            <w:hideMark/>
          </w:tcPr>
          <w:p w14:paraId="6B842BEE"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45.09 ± 9.24</w:t>
            </w:r>
          </w:p>
        </w:tc>
        <w:tc>
          <w:tcPr>
            <w:tcW w:w="0" w:type="auto"/>
            <w:hideMark/>
          </w:tcPr>
          <w:p w14:paraId="48964132"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0.596</w:t>
            </w:r>
          </w:p>
        </w:tc>
      </w:tr>
      <w:tr w:rsidR="00D8096A" w:rsidRPr="00D01E33" w14:paraId="47838865" w14:textId="77777777" w:rsidTr="00E07138">
        <w:trPr>
          <w:trHeight w:val="270"/>
          <w:tblCellSpacing w:w="15" w:type="dxa"/>
        </w:trPr>
        <w:tc>
          <w:tcPr>
            <w:tcW w:w="0" w:type="auto"/>
            <w:vAlign w:val="center"/>
            <w:hideMark/>
          </w:tcPr>
          <w:p w14:paraId="62F827B4" w14:textId="77777777" w:rsidR="00D8096A" w:rsidRPr="00F43F26" w:rsidRDefault="00D8096A" w:rsidP="00D01E33">
            <w:pPr>
              <w:spacing w:after="0" w:line="240" w:lineRule="auto"/>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Platelets (×10³/µL)</w:t>
            </w:r>
          </w:p>
        </w:tc>
        <w:tc>
          <w:tcPr>
            <w:tcW w:w="0" w:type="auto"/>
            <w:hideMark/>
          </w:tcPr>
          <w:p w14:paraId="65181502"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231.92 ± 92.46</w:t>
            </w:r>
          </w:p>
        </w:tc>
        <w:tc>
          <w:tcPr>
            <w:tcW w:w="0" w:type="auto"/>
            <w:hideMark/>
          </w:tcPr>
          <w:p w14:paraId="67EAC7CA"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249.6 ± 97.92</w:t>
            </w:r>
          </w:p>
        </w:tc>
        <w:tc>
          <w:tcPr>
            <w:tcW w:w="0" w:type="auto"/>
            <w:hideMark/>
          </w:tcPr>
          <w:p w14:paraId="34FF76F6"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0.386</w:t>
            </w:r>
          </w:p>
        </w:tc>
      </w:tr>
      <w:tr w:rsidR="00D8096A" w:rsidRPr="00D01E33" w14:paraId="36775212" w14:textId="77777777" w:rsidTr="00E07138">
        <w:trPr>
          <w:trHeight w:val="285"/>
          <w:tblCellSpacing w:w="15" w:type="dxa"/>
        </w:trPr>
        <w:tc>
          <w:tcPr>
            <w:tcW w:w="0" w:type="auto"/>
            <w:vAlign w:val="center"/>
            <w:hideMark/>
          </w:tcPr>
          <w:p w14:paraId="1C145A0B" w14:textId="77777777" w:rsidR="00D8096A" w:rsidRPr="00F43F26" w:rsidRDefault="00D8096A" w:rsidP="00D01E33">
            <w:pPr>
              <w:spacing w:after="0" w:line="240" w:lineRule="auto"/>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Segmented Neutrophils (%)</w:t>
            </w:r>
          </w:p>
        </w:tc>
        <w:tc>
          <w:tcPr>
            <w:tcW w:w="0" w:type="auto"/>
            <w:hideMark/>
          </w:tcPr>
          <w:p w14:paraId="53CF192F"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45.85 ± 16.37</w:t>
            </w:r>
          </w:p>
        </w:tc>
        <w:tc>
          <w:tcPr>
            <w:tcW w:w="0" w:type="auto"/>
            <w:hideMark/>
          </w:tcPr>
          <w:p w14:paraId="4B05FAF6"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43.75 ± 15.69</w:t>
            </w:r>
          </w:p>
        </w:tc>
        <w:tc>
          <w:tcPr>
            <w:tcW w:w="0" w:type="auto"/>
            <w:hideMark/>
          </w:tcPr>
          <w:p w14:paraId="3F7995DF"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0.537</w:t>
            </w:r>
          </w:p>
        </w:tc>
      </w:tr>
      <w:tr w:rsidR="00D8096A" w:rsidRPr="00D01E33" w14:paraId="63685899" w14:textId="77777777" w:rsidTr="00E07138">
        <w:trPr>
          <w:trHeight w:val="270"/>
          <w:tblCellSpacing w:w="15" w:type="dxa"/>
        </w:trPr>
        <w:tc>
          <w:tcPr>
            <w:tcW w:w="0" w:type="auto"/>
            <w:vAlign w:val="center"/>
            <w:hideMark/>
          </w:tcPr>
          <w:p w14:paraId="1A945003" w14:textId="77777777" w:rsidR="00D8096A" w:rsidRPr="00F43F26" w:rsidRDefault="00D8096A" w:rsidP="00D01E33">
            <w:pPr>
              <w:spacing w:after="0" w:line="240" w:lineRule="auto"/>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Lymphocytes (%)</w:t>
            </w:r>
          </w:p>
        </w:tc>
        <w:tc>
          <w:tcPr>
            <w:tcW w:w="0" w:type="auto"/>
            <w:hideMark/>
          </w:tcPr>
          <w:p w14:paraId="46CE43E7"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38.09 ± 15.95</w:t>
            </w:r>
          </w:p>
        </w:tc>
        <w:tc>
          <w:tcPr>
            <w:tcW w:w="0" w:type="auto"/>
            <w:hideMark/>
          </w:tcPr>
          <w:p w14:paraId="720FD353"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38.55 ± 13.67</w:t>
            </w:r>
          </w:p>
        </w:tc>
        <w:tc>
          <w:tcPr>
            <w:tcW w:w="0" w:type="auto"/>
            <w:hideMark/>
          </w:tcPr>
          <w:p w14:paraId="642B1242"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0.870</w:t>
            </w:r>
          </w:p>
        </w:tc>
      </w:tr>
      <w:tr w:rsidR="00D8096A" w:rsidRPr="00280DEB" w14:paraId="342C7889" w14:textId="77777777" w:rsidTr="00E07138">
        <w:trPr>
          <w:trHeight w:val="270"/>
          <w:tblCellSpacing w:w="15" w:type="dxa"/>
        </w:trPr>
        <w:tc>
          <w:tcPr>
            <w:tcW w:w="0" w:type="auto"/>
            <w:shd w:val="clear" w:color="auto" w:fill="D9D9D9"/>
            <w:hideMark/>
          </w:tcPr>
          <w:p w14:paraId="351BD1A1" w14:textId="77777777" w:rsidR="00D8096A" w:rsidRPr="00F43F26" w:rsidRDefault="00D8096A" w:rsidP="00D01E33">
            <w:pPr>
              <w:spacing w:after="0" w:line="240" w:lineRule="auto"/>
              <w:rPr>
                <w:rFonts w:asciiTheme="majorBidi" w:eastAsia="Times New Roman" w:hAnsiTheme="majorBidi" w:cstheme="majorBidi"/>
                <w:b/>
                <w:bCs/>
                <w:sz w:val="24"/>
                <w:szCs w:val="24"/>
              </w:rPr>
            </w:pPr>
            <w:r w:rsidRPr="00F43F26">
              <w:rPr>
                <w:rFonts w:asciiTheme="majorBidi" w:eastAsia="Times New Roman" w:hAnsiTheme="majorBidi" w:cstheme="majorBidi"/>
                <w:b/>
                <w:bCs/>
                <w:sz w:val="24"/>
                <w:szCs w:val="24"/>
              </w:rPr>
              <w:t>Serum electrolyte</w:t>
            </w:r>
          </w:p>
        </w:tc>
        <w:tc>
          <w:tcPr>
            <w:tcW w:w="0" w:type="auto"/>
            <w:shd w:val="clear" w:color="auto" w:fill="D9D9D9"/>
            <w:hideMark/>
          </w:tcPr>
          <w:p w14:paraId="0745E47C" w14:textId="77777777" w:rsidR="00D8096A" w:rsidRPr="00F43F26" w:rsidRDefault="00D8096A" w:rsidP="00D01E33">
            <w:pPr>
              <w:spacing w:after="0" w:line="240" w:lineRule="auto"/>
              <w:jc w:val="center"/>
              <w:rPr>
                <w:rFonts w:asciiTheme="majorBidi" w:eastAsia="Times New Roman" w:hAnsiTheme="majorBidi" w:cstheme="majorBidi"/>
                <w:b/>
                <w:bCs/>
                <w:sz w:val="24"/>
                <w:szCs w:val="24"/>
              </w:rPr>
            </w:pPr>
          </w:p>
        </w:tc>
        <w:tc>
          <w:tcPr>
            <w:tcW w:w="0" w:type="auto"/>
            <w:shd w:val="clear" w:color="auto" w:fill="D9D9D9"/>
            <w:hideMark/>
          </w:tcPr>
          <w:p w14:paraId="1F5B181B" w14:textId="77777777" w:rsidR="00D8096A" w:rsidRPr="00F43F26" w:rsidRDefault="00D8096A" w:rsidP="00D01E33">
            <w:pPr>
              <w:spacing w:after="0" w:line="240" w:lineRule="auto"/>
              <w:jc w:val="center"/>
              <w:rPr>
                <w:rFonts w:asciiTheme="majorBidi" w:eastAsia="Times New Roman" w:hAnsiTheme="majorBidi" w:cstheme="majorBidi"/>
                <w:b/>
                <w:bCs/>
                <w:sz w:val="24"/>
                <w:szCs w:val="24"/>
              </w:rPr>
            </w:pPr>
          </w:p>
        </w:tc>
        <w:tc>
          <w:tcPr>
            <w:tcW w:w="0" w:type="auto"/>
            <w:shd w:val="clear" w:color="auto" w:fill="D9D9D9"/>
            <w:hideMark/>
          </w:tcPr>
          <w:p w14:paraId="04B879FC" w14:textId="77777777" w:rsidR="00D8096A" w:rsidRPr="00F43F26" w:rsidRDefault="00D8096A" w:rsidP="00D01E33">
            <w:pPr>
              <w:spacing w:after="0" w:line="240" w:lineRule="auto"/>
              <w:jc w:val="center"/>
              <w:rPr>
                <w:rFonts w:asciiTheme="majorBidi" w:eastAsia="Times New Roman" w:hAnsiTheme="majorBidi" w:cstheme="majorBidi"/>
                <w:b/>
                <w:bCs/>
                <w:sz w:val="24"/>
                <w:szCs w:val="24"/>
              </w:rPr>
            </w:pPr>
          </w:p>
        </w:tc>
      </w:tr>
      <w:tr w:rsidR="00D8096A" w:rsidRPr="00D01E33" w14:paraId="769A03EF" w14:textId="77777777" w:rsidTr="00E07138">
        <w:trPr>
          <w:trHeight w:val="285"/>
          <w:tblCellSpacing w:w="15" w:type="dxa"/>
        </w:trPr>
        <w:tc>
          <w:tcPr>
            <w:tcW w:w="0" w:type="auto"/>
            <w:vAlign w:val="center"/>
            <w:hideMark/>
          </w:tcPr>
          <w:p w14:paraId="2918FE41" w14:textId="77777777" w:rsidR="00D8096A" w:rsidRPr="00F43F26" w:rsidRDefault="00D8096A" w:rsidP="00D01E33">
            <w:pPr>
              <w:spacing w:after="0" w:line="240" w:lineRule="auto"/>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Serum Na (mmol/L)</w:t>
            </w:r>
          </w:p>
        </w:tc>
        <w:tc>
          <w:tcPr>
            <w:tcW w:w="0" w:type="auto"/>
            <w:hideMark/>
          </w:tcPr>
          <w:p w14:paraId="3EDEDF53"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140.68 ± 4.95</w:t>
            </w:r>
          </w:p>
        </w:tc>
        <w:tc>
          <w:tcPr>
            <w:tcW w:w="0" w:type="auto"/>
            <w:hideMark/>
          </w:tcPr>
          <w:p w14:paraId="072A5995"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139.3 ± 3.63</w:t>
            </w:r>
          </w:p>
        </w:tc>
        <w:tc>
          <w:tcPr>
            <w:tcW w:w="0" w:type="auto"/>
            <w:hideMark/>
          </w:tcPr>
          <w:p w14:paraId="7EBB6837"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0.298</w:t>
            </w:r>
          </w:p>
        </w:tc>
      </w:tr>
      <w:tr w:rsidR="00D8096A" w:rsidRPr="00D01E33" w14:paraId="776182E4" w14:textId="77777777" w:rsidTr="00E07138">
        <w:trPr>
          <w:trHeight w:val="270"/>
          <w:tblCellSpacing w:w="15" w:type="dxa"/>
        </w:trPr>
        <w:tc>
          <w:tcPr>
            <w:tcW w:w="0" w:type="auto"/>
            <w:vAlign w:val="center"/>
            <w:hideMark/>
          </w:tcPr>
          <w:p w14:paraId="0D95CEB4" w14:textId="77777777" w:rsidR="00D8096A" w:rsidRPr="00F43F26" w:rsidRDefault="00D8096A" w:rsidP="00D01E33">
            <w:pPr>
              <w:spacing w:after="0" w:line="240" w:lineRule="auto"/>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Serum K (mmol/L)</w:t>
            </w:r>
          </w:p>
        </w:tc>
        <w:tc>
          <w:tcPr>
            <w:tcW w:w="0" w:type="auto"/>
            <w:hideMark/>
          </w:tcPr>
          <w:p w14:paraId="47279200"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4.73 ± 0.71</w:t>
            </w:r>
          </w:p>
        </w:tc>
        <w:tc>
          <w:tcPr>
            <w:tcW w:w="0" w:type="auto"/>
            <w:hideMark/>
          </w:tcPr>
          <w:p w14:paraId="5418F632"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4.72 ± 0.71</w:t>
            </w:r>
          </w:p>
        </w:tc>
        <w:tc>
          <w:tcPr>
            <w:tcW w:w="0" w:type="auto"/>
            <w:hideMark/>
          </w:tcPr>
          <w:p w14:paraId="5CA9C117"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0.947</w:t>
            </w:r>
          </w:p>
        </w:tc>
      </w:tr>
      <w:tr w:rsidR="00D8096A" w:rsidRPr="00D01E33" w14:paraId="105D6F4D" w14:textId="77777777" w:rsidTr="00E07138">
        <w:trPr>
          <w:trHeight w:val="285"/>
          <w:tblCellSpacing w:w="15" w:type="dxa"/>
        </w:trPr>
        <w:tc>
          <w:tcPr>
            <w:tcW w:w="0" w:type="auto"/>
            <w:vAlign w:val="center"/>
            <w:hideMark/>
          </w:tcPr>
          <w:p w14:paraId="72E76879" w14:textId="77777777" w:rsidR="00D8096A" w:rsidRPr="00F43F26" w:rsidRDefault="00D8096A" w:rsidP="00D01E33">
            <w:pPr>
              <w:spacing w:after="0" w:line="240" w:lineRule="auto"/>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Serum Ca+2 (mg/dL)</w:t>
            </w:r>
          </w:p>
        </w:tc>
        <w:tc>
          <w:tcPr>
            <w:tcW w:w="0" w:type="auto"/>
            <w:hideMark/>
          </w:tcPr>
          <w:p w14:paraId="329FEFB5"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8.59 ± 0.96</w:t>
            </w:r>
          </w:p>
        </w:tc>
        <w:tc>
          <w:tcPr>
            <w:tcW w:w="0" w:type="auto"/>
            <w:hideMark/>
          </w:tcPr>
          <w:p w14:paraId="3CBBAF12"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8.59 ± 1.17</w:t>
            </w:r>
          </w:p>
        </w:tc>
        <w:tc>
          <w:tcPr>
            <w:tcW w:w="0" w:type="auto"/>
            <w:hideMark/>
          </w:tcPr>
          <w:p w14:paraId="073827D9"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0.987</w:t>
            </w:r>
          </w:p>
        </w:tc>
      </w:tr>
      <w:tr w:rsidR="00D8096A" w:rsidRPr="00280DEB" w14:paraId="55A12410" w14:textId="77777777" w:rsidTr="00E07138">
        <w:trPr>
          <w:trHeight w:val="270"/>
          <w:tblCellSpacing w:w="15" w:type="dxa"/>
        </w:trPr>
        <w:tc>
          <w:tcPr>
            <w:tcW w:w="0" w:type="auto"/>
            <w:shd w:val="clear" w:color="auto" w:fill="D9D9D9"/>
            <w:hideMark/>
          </w:tcPr>
          <w:p w14:paraId="6B838AAD" w14:textId="77777777" w:rsidR="00D8096A" w:rsidRPr="00F43F26" w:rsidRDefault="00D8096A" w:rsidP="00D01E33">
            <w:pPr>
              <w:spacing w:after="0" w:line="240" w:lineRule="auto"/>
              <w:rPr>
                <w:rFonts w:asciiTheme="majorBidi" w:eastAsia="Times New Roman" w:hAnsiTheme="majorBidi" w:cstheme="majorBidi"/>
                <w:b/>
                <w:bCs/>
                <w:sz w:val="24"/>
                <w:szCs w:val="24"/>
              </w:rPr>
            </w:pPr>
            <w:r w:rsidRPr="00F43F26">
              <w:rPr>
                <w:rFonts w:asciiTheme="majorBidi" w:eastAsia="Times New Roman" w:hAnsiTheme="majorBidi" w:cstheme="majorBidi"/>
                <w:b/>
                <w:bCs/>
                <w:sz w:val="24"/>
                <w:szCs w:val="24"/>
              </w:rPr>
              <w:t>Kidney function test</w:t>
            </w:r>
          </w:p>
        </w:tc>
        <w:tc>
          <w:tcPr>
            <w:tcW w:w="0" w:type="auto"/>
            <w:shd w:val="clear" w:color="auto" w:fill="D9D9D9"/>
            <w:hideMark/>
          </w:tcPr>
          <w:p w14:paraId="306C0769" w14:textId="77777777" w:rsidR="00D8096A" w:rsidRPr="00F43F26" w:rsidRDefault="00D8096A" w:rsidP="00D01E33">
            <w:pPr>
              <w:spacing w:after="0" w:line="240" w:lineRule="auto"/>
              <w:jc w:val="center"/>
              <w:rPr>
                <w:rFonts w:asciiTheme="majorBidi" w:eastAsia="Times New Roman" w:hAnsiTheme="majorBidi" w:cstheme="majorBidi"/>
                <w:b/>
                <w:bCs/>
                <w:sz w:val="24"/>
                <w:szCs w:val="24"/>
              </w:rPr>
            </w:pPr>
          </w:p>
        </w:tc>
        <w:tc>
          <w:tcPr>
            <w:tcW w:w="0" w:type="auto"/>
            <w:shd w:val="clear" w:color="auto" w:fill="D9D9D9"/>
            <w:hideMark/>
          </w:tcPr>
          <w:p w14:paraId="3B6504A9" w14:textId="77777777" w:rsidR="00D8096A" w:rsidRPr="00F43F26" w:rsidRDefault="00D8096A" w:rsidP="00D01E33">
            <w:pPr>
              <w:spacing w:after="0" w:line="240" w:lineRule="auto"/>
              <w:jc w:val="center"/>
              <w:rPr>
                <w:rFonts w:asciiTheme="majorBidi" w:eastAsia="Times New Roman" w:hAnsiTheme="majorBidi" w:cstheme="majorBidi"/>
                <w:b/>
                <w:bCs/>
                <w:sz w:val="24"/>
                <w:szCs w:val="24"/>
              </w:rPr>
            </w:pPr>
          </w:p>
        </w:tc>
        <w:tc>
          <w:tcPr>
            <w:tcW w:w="0" w:type="auto"/>
            <w:shd w:val="clear" w:color="auto" w:fill="D9D9D9"/>
            <w:hideMark/>
          </w:tcPr>
          <w:p w14:paraId="2D70A61B" w14:textId="77777777" w:rsidR="00D8096A" w:rsidRPr="00F43F26" w:rsidRDefault="00D8096A" w:rsidP="00D01E33">
            <w:pPr>
              <w:spacing w:after="0" w:line="240" w:lineRule="auto"/>
              <w:jc w:val="center"/>
              <w:rPr>
                <w:rFonts w:asciiTheme="majorBidi" w:eastAsia="Times New Roman" w:hAnsiTheme="majorBidi" w:cstheme="majorBidi"/>
                <w:b/>
                <w:bCs/>
                <w:sz w:val="24"/>
                <w:szCs w:val="24"/>
              </w:rPr>
            </w:pPr>
          </w:p>
        </w:tc>
      </w:tr>
      <w:tr w:rsidR="00D8096A" w:rsidRPr="00D01E33" w14:paraId="73445124" w14:textId="77777777" w:rsidTr="00E07138">
        <w:trPr>
          <w:trHeight w:val="270"/>
          <w:tblCellSpacing w:w="15" w:type="dxa"/>
        </w:trPr>
        <w:tc>
          <w:tcPr>
            <w:tcW w:w="0" w:type="auto"/>
            <w:vAlign w:val="center"/>
            <w:hideMark/>
          </w:tcPr>
          <w:p w14:paraId="21F153E1" w14:textId="77777777" w:rsidR="00D8096A" w:rsidRPr="00F43F26" w:rsidRDefault="00D8096A" w:rsidP="00D01E33">
            <w:pPr>
              <w:spacing w:after="0" w:line="240" w:lineRule="auto"/>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Serum urea (mg/dL)</w:t>
            </w:r>
          </w:p>
        </w:tc>
        <w:tc>
          <w:tcPr>
            <w:tcW w:w="0" w:type="auto"/>
            <w:hideMark/>
          </w:tcPr>
          <w:p w14:paraId="422B9EF4"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23.65 ± 18.52</w:t>
            </w:r>
          </w:p>
        </w:tc>
        <w:tc>
          <w:tcPr>
            <w:tcW w:w="0" w:type="auto"/>
            <w:hideMark/>
          </w:tcPr>
          <w:p w14:paraId="1E7DC3AB"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29.31 ± 9.23</w:t>
            </w:r>
          </w:p>
        </w:tc>
        <w:tc>
          <w:tcPr>
            <w:tcW w:w="0" w:type="auto"/>
            <w:hideMark/>
          </w:tcPr>
          <w:p w14:paraId="59C84678"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0.178</w:t>
            </w:r>
          </w:p>
        </w:tc>
      </w:tr>
      <w:tr w:rsidR="00D8096A" w:rsidRPr="00D01E33" w14:paraId="7DEC0AD8" w14:textId="77777777" w:rsidTr="00E07138">
        <w:trPr>
          <w:trHeight w:val="285"/>
          <w:tblCellSpacing w:w="15" w:type="dxa"/>
        </w:trPr>
        <w:tc>
          <w:tcPr>
            <w:tcW w:w="0" w:type="auto"/>
            <w:vAlign w:val="center"/>
            <w:hideMark/>
          </w:tcPr>
          <w:p w14:paraId="1EE9D355" w14:textId="77777777" w:rsidR="00D8096A" w:rsidRPr="00F43F26" w:rsidRDefault="00D8096A" w:rsidP="00D01E33">
            <w:pPr>
              <w:spacing w:after="0" w:line="240" w:lineRule="auto"/>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Serum creatinine (mg/dL)</w:t>
            </w:r>
          </w:p>
        </w:tc>
        <w:tc>
          <w:tcPr>
            <w:tcW w:w="0" w:type="auto"/>
            <w:hideMark/>
          </w:tcPr>
          <w:p w14:paraId="0B5D2419"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0.58 ± 0.23</w:t>
            </w:r>
          </w:p>
        </w:tc>
        <w:tc>
          <w:tcPr>
            <w:tcW w:w="0" w:type="auto"/>
            <w:hideMark/>
          </w:tcPr>
          <w:p w14:paraId="0F3E79C0"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0.51 ± 0.21</w:t>
            </w:r>
          </w:p>
        </w:tc>
        <w:tc>
          <w:tcPr>
            <w:tcW w:w="0" w:type="auto"/>
            <w:hideMark/>
          </w:tcPr>
          <w:p w14:paraId="6AD163BC"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0.161</w:t>
            </w:r>
          </w:p>
        </w:tc>
      </w:tr>
      <w:tr w:rsidR="00D8096A" w:rsidRPr="00280DEB" w14:paraId="73EB267C" w14:textId="77777777" w:rsidTr="00E07138">
        <w:trPr>
          <w:trHeight w:val="270"/>
          <w:tblCellSpacing w:w="15" w:type="dxa"/>
        </w:trPr>
        <w:tc>
          <w:tcPr>
            <w:tcW w:w="0" w:type="auto"/>
            <w:shd w:val="clear" w:color="auto" w:fill="D9D9D9"/>
            <w:hideMark/>
          </w:tcPr>
          <w:p w14:paraId="636901B8" w14:textId="77777777" w:rsidR="00D8096A" w:rsidRPr="00F43F26" w:rsidRDefault="00D8096A" w:rsidP="00D01E33">
            <w:pPr>
              <w:spacing w:after="0" w:line="240" w:lineRule="auto"/>
              <w:rPr>
                <w:rFonts w:asciiTheme="majorBidi" w:eastAsia="Times New Roman" w:hAnsiTheme="majorBidi" w:cstheme="majorBidi"/>
                <w:b/>
                <w:bCs/>
                <w:sz w:val="24"/>
                <w:szCs w:val="24"/>
              </w:rPr>
            </w:pPr>
            <w:r w:rsidRPr="00F43F26">
              <w:rPr>
                <w:rFonts w:asciiTheme="majorBidi" w:eastAsia="Times New Roman" w:hAnsiTheme="majorBidi" w:cstheme="majorBidi"/>
                <w:b/>
                <w:bCs/>
                <w:sz w:val="24"/>
                <w:szCs w:val="24"/>
              </w:rPr>
              <w:t>ABG</w:t>
            </w:r>
          </w:p>
        </w:tc>
        <w:tc>
          <w:tcPr>
            <w:tcW w:w="0" w:type="auto"/>
            <w:shd w:val="clear" w:color="auto" w:fill="D9D9D9"/>
            <w:hideMark/>
          </w:tcPr>
          <w:p w14:paraId="4E73D66C" w14:textId="77777777" w:rsidR="00D8096A" w:rsidRPr="00F43F26" w:rsidRDefault="00D8096A" w:rsidP="00D01E33">
            <w:pPr>
              <w:spacing w:after="0" w:line="240" w:lineRule="auto"/>
              <w:jc w:val="center"/>
              <w:rPr>
                <w:rFonts w:asciiTheme="majorBidi" w:eastAsia="Times New Roman" w:hAnsiTheme="majorBidi" w:cstheme="majorBidi"/>
                <w:b/>
                <w:bCs/>
                <w:sz w:val="24"/>
                <w:szCs w:val="24"/>
              </w:rPr>
            </w:pPr>
          </w:p>
        </w:tc>
        <w:tc>
          <w:tcPr>
            <w:tcW w:w="0" w:type="auto"/>
            <w:shd w:val="clear" w:color="auto" w:fill="D9D9D9"/>
            <w:hideMark/>
          </w:tcPr>
          <w:p w14:paraId="4CF5BA43" w14:textId="77777777" w:rsidR="00D8096A" w:rsidRPr="00F43F26" w:rsidRDefault="00D8096A" w:rsidP="00D01E33">
            <w:pPr>
              <w:spacing w:after="0" w:line="240" w:lineRule="auto"/>
              <w:jc w:val="center"/>
              <w:rPr>
                <w:rFonts w:asciiTheme="majorBidi" w:eastAsia="Times New Roman" w:hAnsiTheme="majorBidi" w:cstheme="majorBidi"/>
                <w:b/>
                <w:bCs/>
                <w:sz w:val="24"/>
                <w:szCs w:val="24"/>
              </w:rPr>
            </w:pPr>
          </w:p>
        </w:tc>
        <w:tc>
          <w:tcPr>
            <w:tcW w:w="0" w:type="auto"/>
            <w:shd w:val="clear" w:color="auto" w:fill="D9D9D9"/>
            <w:hideMark/>
          </w:tcPr>
          <w:p w14:paraId="09F76BB1" w14:textId="77777777" w:rsidR="00D8096A" w:rsidRPr="00F43F26" w:rsidRDefault="00D8096A" w:rsidP="00D01E33">
            <w:pPr>
              <w:spacing w:after="0" w:line="240" w:lineRule="auto"/>
              <w:jc w:val="center"/>
              <w:rPr>
                <w:rFonts w:asciiTheme="majorBidi" w:eastAsia="Times New Roman" w:hAnsiTheme="majorBidi" w:cstheme="majorBidi"/>
                <w:b/>
                <w:bCs/>
                <w:sz w:val="24"/>
                <w:szCs w:val="24"/>
              </w:rPr>
            </w:pPr>
          </w:p>
        </w:tc>
      </w:tr>
      <w:tr w:rsidR="00D8096A" w:rsidRPr="00280DEB" w14:paraId="76DC2D50" w14:textId="77777777" w:rsidTr="00E07138">
        <w:trPr>
          <w:trHeight w:val="270"/>
          <w:tblCellSpacing w:w="15" w:type="dxa"/>
        </w:trPr>
        <w:tc>
          <w:tcPr>
            <w:tcW w:w="0" w:type="auto"/>
          </w:tcPr>
          <w:p w14:paraId="1F30644D" w14:textId="77777777" w:rsidR="00D8096A" w:rsidRPr="00F43F26" w:rsidRDefault="00D8096A" w:rsidP="00D01E33">
            <w:pPr>
              <w:spacing w:after="0" w:line="240" w:lineRule="auto"/>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PH</w:t>
            </w:r>
          </w:p>
        </w:tc>
        <w:tc>
          <w:tcPr>
            <w:tcW w:w="0" w:type="auto"/>
          </w:tcPr>
          <w:p w14:paraId="1E849E30"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7.37 ± 0.23</w:t>
            </w:r>
          </w:p>
        </w:tc>
        <w:tc>
          <w:tcPr>
            <w:tcW w:w="0" w:type="auto"/>
          </w:tcPr>
          <w:p w14:paraId="60B56476"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7.33 ± 0.14</w:t>
            </w:r>
          </w:p>
        </w:tc>
        <w:tc>
          <w:tcPr>
            <w:tcW w:w="0" w:type="auto"/>
          </w:tcPr>
          <w:p w14:paraId="29DBF895"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0.372</w:t>
            </w:r>
          </w:p>
        </w:tc>
      </w:tr>
      <w:tr w:rsidR="00D8096A" w:rsidRPr="00280DEB" w14:paraId="1761997A" w14:textId="77777777" w:rsidTr="00E07138">
        <w:trPr>
          <w:trHeight w:val="270"/>
          <w:tblCellSpacing w:w="15" w:type="dxa"/>
        </w:trPr>
        <w:tc>
          <w:tcPr>
            <w:tcW w:w="0" w:type="auto"/>
            <w:vAlign w:val="center"/>
          </w:tcPr>
          <w:p w14:paraId="77C35750" w14:textId="77777777" w:rsidR="00D8096A" w:rsidRPr="00F43F26" w:rsidRDefault="00D8096A" w:rsidP="00D01E33">
            <w:pPr>
              <w:spacing w:after="0" w:line="240" w:lineRule="auto"/>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PCO2 (mmHg)</w:t>
            </w:r>
          </w:p>
        </w:tc>
        <w:tc>
          <w:tcPr>
            <w:tcW w:w="0" w:type="auto"/>
          </w:tcPr>
          <w:p w14:paraId="1BF97EA4"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33.13 ± 10.69</w:t>
            </w:r>
          </w:p>
        </w:tc>
        <w:tc>
          <w:tcPr>
            <w:tcW w:w="0" w:type="auto"/>
          </w:tcPr>
          <w:p w14:paraId="4D7C26AE"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37.39 ± 15.51</w:t>
            </w:r>
          </w:p>
        </w:tc>
        <w:tc>
          <w:tcPr>
            <w:tcW w:w="0" w:type="auto"/>
          </w:tcPr>
          <w:p w14:paraId="2EE4B788"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0.133</w:t>
            </w:r>
          </w:p>
        </w:tc>
      </w:tr>
      <w:tr w:rsidR="00D8096A" w:rsidRPr="00280DEB" w14:paraId="09159542" w14:textId="77777777" w:rsidTr="00E07138">
        <w:trPr>
          <w:trHeight w:val="270"/>
          <w:tblCellSpacing w:w="15" w:type="dxa"/>
        </w:trPr>
        <w:tc>
          <w:tcPr>
            <w:tcW w:w="0" w:type="auto"/>
            <w:vAlign w:val="center"/>
          </w:tcPr>
          <w:p w14:paraId="16499239" w14:textId="77777777" w:rsidR="00D8096A" w:rsidRPr="00F43F26" w:rsidRDefault="00D8096A" w:rsidP="00D01E33">
            <w:pPr>
              <w:spacing w:after="0" w:line="240" w:lineRule="auto"/>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HCO3 (mmol/L)</w:t>
            </w:r>
          </w:p>
        </w:tc>
        <w:tc>
          <w:tcPr>
            <w:tcW w:w="0" w:type="auto"/>
          </w:tcPr>
          <w:p w14:paraId="1F7B5154"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23.34 ± 6.27</w:t>
            </w:r>
          </w:p>
        </w:tc>
        <w:tc>
          <w:tcPr>
            <w:tcW w:w="0" w:type="auto"/>
          </w:tcPr>
          <w:p w14:paraId="58EBB4F8"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20.67 ± 9.49</w:t>
            </w:r>
          </w:p>
        </w:tc>
        <w:tc>
          <w:tcPr>
            <w:tcW w:w="0" w:type="auto"/>
          </w:tcPr>
          <w:p w14:paraId="658A636F" w14:textId="77777777" w:rsidR="00D8096A" w:rsidRPr="00F43F26" w:rsidRDefault="00D8096A" w:rsidP="00D01E33">
            <w:pPr>
              <w:spacing w:after="0" w:line="240" w:lineRule="auto"/>
              <w:jc w:val="center"/>
              <w:rPr>
                <w:rFonts w:asciiTheme="majorBidi" w:eastAsia="Times New Roman" w:hAnsiTheme="majorBidi" w:cstheme="majorBidi"/>
                <w:sz w:val="24"/>
                <w:szCs w:val="24"/>
              </w:rPr>
            </w:pPr>
            <w:r w:rsidRPr="00F43F26">
              <w:rPr>
                <w:rFonts w:asciiTheme="majorBidi" w:eastAsia="Times New Roman" w:hAnsiTheme="majorBidi" w:cstheme="majorBidi"/>
                <w:sz w:val="24"/>
                <w:szCs w:val="24"/>
              </w:rPr>
              <w:t>0.152</w:t>
            </w:r>
          </w:p>
        </w:tc>
      </w:tr>
    </w:tbl>
    <w:p w14:paraId="1C0BC917" w14:textId="77777777" w:rsidR="00D8096A" w:rsidRPr="00D01E33" w:rsidRDefault="00D8096A" w:rsidP="00D01E33">
      <w:pPr>
        <w:widowControl w:val="0"/>
        <w:autoSpaceDE w:val="0"/>
        <w:autoSpaceDN w:val="0"/>
        <w:adjustRightInd w:val="0"/>
        <w:spacing w:after="0" w:line="240" w:lineRule="auto"/>
        <w:ind w:left="360"/>
        <w:rPr>
          <w:rFonts w:asciiTheme="majorBidi" w:eastAsia="Times New Roman" w:hAnsiTheme="majorBidi" w:cstheme="majorBidi"/>
          <w:lang w:val="en-US"/>
        </w:rPr>
      </w:pPr>
      <w:r w:rsidRPr="00D01E33">
        <w:rPr>
          <w:rFonts w:asciiTheme="majorBidi" w:eastAsia="Times New Roman" w:hAnsiTheme="majorBidi" w:cstheme="majorBidi"/>
          <w:b/>
          <w:bCs/>
          <w:lang w:val="en-US"/>
        </w:rPr>
        <w:t>Abbreviation.</w:t>
      </w:r>
      <w:r w:rsidRPr="00D01E33">
        <w:rPr>
          <w:rFonts w:asciiTheme="majorBidi" w:eastAsia="Times New Roman" w:hAnsiTheme="majorBidi" w:cstheme="majorBidi"/>
          <w:lang w:val="en-US"/>
        </w:rPr>
        <w:t xml:space="preserve"> CBC: Complete Blood Count, WBC: White Blood Cells, HB: Hemoglobin, Na: Sodium, K: Potassium, Ca+2: Calcium, ABG: Arterial Blood Gas, PCO2: Partial Pressure of Carbon Dioxide, HCO3: Bicarbonate</w:t>
      </w:r>
    </w:p>
    <w:p w14:paraId="0B2E2F1B" w14:textId="77777777" w:rsidR="00D8096A" w:rsidRPr="00D01E33" w:rsidRDefault="00D8096A" w:rsidP="00D01E33">
      <w:pPr>
        <w:widowControl w:val="0"/>
        <w:autoSpaceDE w:val="0"/>
        <w:autoSpaceDN w:val="0"/>
        <w:adjustRightInd w:val="0"/>
        <w:spacing w:after="0" w:line="240" w:lineRule="auto"/>
        <w:rPr>
          <w:rFonts w:asciiTheme="majorBidi" w:eastAsia="Times New Roman" w:hAnsiTheme="majorBidi" w:cstheme="majorBidi"/>
          <w:lang w:val="en-US"/>
        </w:rPr>
      </w:pPr>
      <w:r w:rsidRPr="00D01E33">
        <w:rPr>
          <w:rFonts w:asciiTheme="majorBidi" w:eastAsia="Times New Roman" w:hAnsiTheme="majorBidi" w:cstheme="majorBidi"/>
          <w:lang w:val="en-US"/>
        </w:rPr>
        <w:t>Data represent as Mean ± SD.</w:t>
      </w:r>
    </w:p>
    <w:p w14:paraId="05D1D7AF" w14:textId="77777777" w:rsidR="00D8096A" w:rsidRPr="006F3FF8" w:rsidRDefault="00D8096A" w:rsidP="006F3FF8">
      <w:pPr>
        <w:widowControl w:val="0"/>
        <w:autoSpaceDE w:val="0"/>
        <w:autoSpaceDN w:val="0"/>
        <w:adjustRightInd w:val="0"/>
        <w:spacing w:after="0" w:line="240" w:lineRule="auto"/>
        <w:rPr>
          <w:rFonts w:asciiTheme="majorBidi" w:eastAsia="Times New Roman" w:hAnsiTheme="majorBidi" w:cstheme="majorBidi"/>
          <w:lang w:val="en-US"/>
        </w:rPr>
      </w:pPr>
      <w:r w:rsidRPr="00D01E33">
        <w:rPr>
          <w:rFonts w:asciiTheme="majorBidi" w:eastAsia="Calibri" w:hAnsiTheme="majorBidi" w:cstheme="majorBidi"/>
          <w:lang w:val="en-US"/>
        </w:rPr>
        <w:t>p: p value for comparing between the two studied groups.   *: Statistically significant at p ≤ 0.05</w:t>
      </w:r>
    </w:p>
    <w:p w14:paraId="265DA0AC" w14:textId="77777777" w:rsidR="00A053E4" w:rsidRPr="00280DEB" w:rsidRDefault="00A053E4" w:rsidP="00A053E4">
      <w:pPr>
        <w:pStyle w:val="NormalWeb"/>
        <w:spacing w:line="480" w:lineRule="auto"/>
        <w:jc w:val="both"/>
        <w:rPr>
          <w:rFonts w:asciiTheme="majorBidi" w:hAnsiTheme="majorBidi" w:cstheme="majorBidi"/>
        </w:rPr>
      </w:pPr>
      <w:r w:rsidRPr="00280DEB">
        <w:rPr>
          <w:rFonts w:asciiTheme="majorBidi" w:hAnsiTheme="majorBidi" w:cstheme="majorBidi"/>
        </w:rPr>
        <w:t>Table (3) shows Laboratory findings, including blood glucose, CRP, CBC, electrolytes, renal function, and arterial blood gases, showed no significant differences between groups.</w:t>
      </w:r>
    </w:p>
    <w:p w14:paraId="5E4C02E1" w14:textId="70E9A8F1" w:rsidR="00D8096A" w:rsidRDefault="00D8096A" w:rsidP="00EF1BEC">
      <w:pPr>
        <w:pStyle w:val="NormalWeb"/>
        <w:spacing w:line="480" w:lineRule="auto"/>
        <w:jc w:val="both"/>
        <w:rPr>
          <w:rFonts w:asciiTheme="majorBidi" w:hAnsiTheme="majorBidi" w:cstheme="majorBidi"/>
        </w:rPr>
      </w:pPr>
    </w:p>
    <w:p w14:paraId="4F032A2C" w14:textId="4775C74E" w:rsidR="00A053E4" w:rsidRDefault="00A053E4" w:rsidP="00EF1BEC">
      <w:pPr>
        <w:pStyle w:val="NormalWeb"/>
        <w:spacing w:line="480" w:lineRule="auto"/>
        <w:jc w:val="both"/>
        <w:rPr>
          <w:rFonts w:asciiTheme="majorBidi" w:hAnsiTheme="majorBidi" w:cstheme="majorBidi"/>
        </w:rPr>
      </w:pPr>
    </w:p>
    <w:p w14:paraId="7981AAB8" w14:textId="77777777" w:rsidR="00A053E4" w:rsidRDefault="00A053E4" w:rsidP="00EF1BEC">
      <w:pPr>
        <w:pStyle w:val="NormalWeb"/>
        <w:spacing w:line="480" w:lineRule="auto"/>
        <w:jc w:val="both"/>
        <w:rPr>
          <w:rFonts w:asciiTheme="majorBidi" w:hAnsiTheme="majorBidi" w:cstheme="majorBidi"/>
        </w:rPr>
      </w:pPr>
    </w:p>
    <w:p w14:paraId="0B30EDA1" w14:textId="77777777" w:rsidR="00D8096A" w:rsidRPr="00280DEB" w:rsidRDefault="00D8096A" w:rsidP="00280DEB">
      <w:pPr>
        <w:widowControl w:val="0"/>
        <w:autoSpaceDE w:val="0"/>
        <w:autoSpaceDN w:val="0"/>
        <w:spacing w:line="240" w:lineRule="auto"/>
        <w:rPr>
          <w:rFonts w:ascii="Times New Roman" w:eastAsia="Times New Roman" w:hAnsi="Times New Roman" w:cs="Times New Roman"/>
          <w:b/>
          <w:bCs/>
          <w:sz w:val="24"/>
          <w:szCs w:val="24"/>
          <w:lang w:val="en-US"/>
        </w:rPr>
      </w:pPr>
      <w:r w:rsidRPr="00280DEB">
        <w:rPr>
          <w:rFonts w:ascii="Times New Roman" w:eastAsia="Times New Roman" w:hAnsi="Times New Roman" w:cs="Times New Roman"/>
          <w:b/>
          <w:bCs/>
          <w:noProof/>
          <w:sz w:val="24"/>
          <w:szCs w:val="24"/>
          <w:lang w:val="en-US"/>
        </w:rPr>
        <w:drawing>
          <wp:inline distT="0" distB="0" distL="0" distR="0" wp14:anchorId="43312AC7" wp14:editId="6C9F1381">
            <wp:extent cx="5943600" cy="419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4tutr.png"/>
                    <pic:cNvPicPr/>
                  </pic:nvPicPr>
                  <pic:blipFill rotWithShape="1">
                    <a:blip r:embed="rId12" cstate="print">
                      <a:extLst>
                        <a:ext uri="{28A0092B-C50C-407E-A947-70E740481C1C}">
                          <a14:useLocalDpi xmlns:a14="http://schemas.microsoft.com/office/drawing/2010/main" val="0"/>
                        </a:ext>
                      </a:extLst>
                    </a:blip>
                    <a:srcRect t="5580"/>
                    <a:stretch/>
                  </pic:blipFill>
                  <pic:spPr bwMode="auto">
                    <a:xfrm>
                      <a:off x="0" y="0"/>
                      <a:ext cx="5943600" cy="4191000"/>
                    </a:xfrm>
                    <a:prstGeom prst="rect">
                      <a:avLst/>
                    </a:prstGeom>
                    <a:ln>
                      <a:noFill/>
                    </a:ln>
                    <a:extLst>
                      <a:ext uri="{53640926-AAD7-44D8-BBD7-CCE9431645EC}">
                        <a14:shadowObscured xmlns:a14="http://schemas.microsoft.com/office/drawing/2010/main"/>
                      </a:ext>
                    </a:extLst>
                  </pic:spPr>
                </pic:pic>
              </a:graphicData>
            </a:graphic>
          </wp:inline>
        </w:drawing>
      </w:r>
    </w:p>
    <w:p w14:paraId="6F18EDDC" w14:textId="77777777" w:rsidR="00D8096A" w:rsidRPr="00280DEB" w:rsidRDefault="00D8096A" w:rsidP="00280DEB">
      <w:pPr>
        <w:widowControl w:val="0"/>
        <w:autoSpaceDE w:val="0"/>
        <w:autoSpaceDN w:val="0"/>
        <w:spacing w:line="240" w:lineRule="auto"/>
        <w:rPr>
          <w:rFonts w:ascii="Times New Roman" w:eastAsia="Times New Roman" w:hAnsi="Times New Roman" w:cs="Times New Roman"/>
          <w:b/>
          <w:bCs/>
          <w:sz w:val="24"/>
          <w:szCs w:val="24"/>
          <w:lang w:val="en-US"/>
        </w:rPr>
      </w:pPr>
    </w:p>
    <w:p w14:paraId="2A6A0FDA" w14:textId="73E91662" w:rsidR="00D8096A" w:rsidRDefault="00D8096A" w:rsidP="006F3FF8">
      <w:pPr>
        <w:widowControl w:val="0"/>
        <w:autoSpaceDE w:val="0"/>
        <w:autoSpaceDN w:val="0"/>
        <w:spacing w:line="240" w:lineRule="auto"/>
        <w:rPr>
          <w:rFonts w:ascii="Times New Roman" w:eastAsia="Times New Roman" w:hAnsi="Times New Roman" w:cs="Times New Roman"/>
          <w:b/>
          <w:bCs/>
          <w:sz w:val="24"/>
          <w:szCs w:val="24"/>
          <w:lang w:val="en-US"/>
        </w:rPr>
      </w:pPr>
      <w:r w:rsidRPr="00280DEB">
        <w:rPr>
          <w:rFonts w:ascii="Times New Roman" w:eastAsia="Times New Roman" w:hAnsi="Times New Roman" w:cs="Times New Roman"/>
          <w:b/>
          <w:bCs/>
          <w:sz w:val="24"/>
          <w:szCs w:val="24"/>
          <w:lang w:val="en-US"/>
        </w:rPr>
        <w:t>Figure (</w:t>
      </w:r>
      <w:r>
        <w:rPr>
          <w:rFonts w:ascii="Times New Roman" w:eastAsia="Times New Roman" w:hAnsi="Times New Roman" w:cs="Times New Roman"/>
          <w:b/>
          <w:bCs/>
          <w:sz w:val="24"/>
          <w:szCs w:val="24"/>
          <w:lang w:val="en-US"/>
        </w:rPr>
        <w:t>3</w:t>
      </w:r>
      <w:r w:rsidRPr="00280DEB">
        <w:rPr>
          <w:rFonts w:ascii="Times New Roman" w:eastAsia="Times New Roman" w:hAnsi="Times New Roman" w:cs="Times New Roman"/>
          <w:b/>
          <w:bCs/>
          <w:sz w:val="24"/>
          <w:szCs w:val="24"/>
          <w:lang w:val="en-US"/>
        </w:rPr>
        <w:t>): Comparison between the studied groups regarding chest x rays) findings.</w:t>
      </w:r>
    </w:p>
    <w:p w14:paraId="02546519" w14:textId="77777777" w:rsidR="00A053E4" w:rsidRPr="00A053E4" w:rsidRDefault="00A053E4" w:rsidP="00A053E4">
      <w:pPr>
        <w:widowControl w:val="0"/>
        <w:autoSpaceDE w:val="0"/>
        <w:autoSpaceDN w:val="0"/>
        <w:spacing w:line="360" w:lineRule="auto"/>
        <w:rPr>
          <w:rFonts w:ascii="Times New Roman" w:eastAsia="Times New Roman" w:hAnsi="Times New Roman" w:cs="Times New Roman"/>
          <w:sz w:val="24"/>
          <w:szCs w:val="24"/>
          <w:lang w:val="en-US"/>
        </w:rPr>
      </w:pPr>
      <w:r w:rsidRPr="00A053E4">
        <w:rPr>
          <w:rFonts w:ascii="Times New Roman" w:eastAsia="Times New Roman" w:hAnsi="Times New Roman" w:cs="Times New Roman"/>
          <w:sz w:val="24"/>
          <w:szCs w:val="24"/>
          <w:lang w:val="en-US"/>
        </w:rPr>
        <w:t>Radiological findings for 100 preterm infants (50 HFNC, 50 nCPAP). No statistically significant differences were found in the distribution of radiological grades between the two groups (p=0.673). The majority of infants in both groups had Grade I findings (HFNC: 70%, nCPAP: 64%). Grade II findings were observed in 20% of HFNC and 24% of nCPAP infants, while Grade III findings were seen in 10% of HFNC and 12% of nCPAP infants (Figure 3).</w:t>
      </w:r>
    </w:p>
    <w:p w14:paraId="794E580F" w14:textId="77777777" w:rsidR="00A053E4" w:rsidRDefault="00A053E4" w:rsidP="00280DEB">
      <w:pPr>
        <w:spacing w:before="100" w:beforeAutospacing="1" w:after="100" w:afterAutospacing="1" w:line="240" w:lineRule="auto"/>
        <w:outlineLvl w:val="2"/>
        <w:rPr>
          <w:rFonts w:ascii="Times New Roman" w:eastAsia="Times New Roman" w:hAnsi="Times New Roman" w:cs="Times New Roman"/>
          <w:b/>
          <w:bCs/>
          <w:sz w:val="24"/>
          <w:szCs w:val="24"/>
          <w:lang w:val="en-US"/>
        </w:rPr>
      </w:pPr>
    </w:p>
    <w:p w14:paraId="6CDBBD93" w14:textId="77777777" w:rsidR="00A053E4" w:rsidRDefault="00A053E4" w:rsidP="00280DEB">
      <w:pPr>
        <w:spacing w:before="100" w:beforeAutospacing="1" w:after="100" w:afterAutospacing="1" w:line="240" w:lineRule="auto"/>
        <w:outlineLvl w:val="2"/>
        <w:rPr>
          <w:rFonts w:asciiTheme="majorBidi" w:eastAsia="Times New Roman" w:hAnsiTheme="majorBidi" w:cstheme="majorBidi"/>
          <w:b/>
          <w:bCs/>
          <w:sz w:val="24"/>
          <w:szCs w:val="24"/>
          <w:lang w:val="en-US"/>
        </w:rPr>
      </w:pPr>
    </w:p>
    <w:p w14:paraId="5B4F11A6" w14:textId="77777777" w:rsidR="00A053E4" w:rsidRDefault="00A053E4" w:rsidP="00280DEB">
      <w:pPr>
        <w:spacing w:before="100" w:beforeAutospacing="1" w:after="100" w:afterAutospacing="1" w:line="240" w:lineRule="auto"/>
        <w:outlineLvl w:val="2"/>
        <w:rPr>
          <w:rFonts w:asciiTheme="majorBidi" w:eastAsia="Times New Roman" w:hAnsiTheme="majorBidi" w:cstheme="majorBidi"/>
          <w:b/>
          <w:bCs/>
          <w:sz w:val="24"/>
          <w:szCs w:val="24"/>
          <w:lang w:val="en-US"/>
        </w:rPr>
      </w:pPr>
    </w:p>
    <w:p w14:paraId="5448C27A" w14:textId="77777777" w:rsidR="00A053E4" w:rsidRDefault="00A053E4" w:rsidP="00280DEB">
      <w:pPr>
        <w:spacing w:before="100" w:beforeAutospacing="1" w:after="100" w:afterAutospacing="1" w:line="240" w:lineRule="auto"/>
        <w:outlineLvl w:val="2"/>
        <w:rPr>
          <w:rFonts w:asciiTheme="majorBidi" w:eastAsia="Times New Roman" w:hAnsiTheme="majorBidi" w:cstheme="majorBidi"/>
          <w:b/>
          <w:bCs/>
          <w:sz w:val="24"/>
          <w:szCs w:val="24"/>
          <w:lang w:val="en-US"/>
        </w:rPr>
      </w:pPr>
    </w:p>
    <w:p w14:paraId="3AF8D254" w14:textId="77777777" w:rsidR="00A053E4" w:rsidRDefault="00A053E4" w:rsidP="00280DEB">
      <w:pPr>
        <w:spacing w:before="100" w:beforeAutospacing="1" w:after="100" w:afterAutospacing="1" w:line="240" w:lineRule="auto"/>
        <w:outlineLvl w:val="2"/>
        <w:rPr>
          <w:rFonts w:asciiTheme="majorBidi" w:eastAsia="Times New Roman" w:hAnsiTheme="majorBidi" w:cstheme="majorBidi"/>
          <w:b/>
          <w:bCs/>
          <w:sz w:val="24"/>
          <w:szCs w:val="24"/>
          <w:lang w:val="en-US"/>
        </w:rPr>
      </w:pPr>
    </w:p>
    <w:p w14:paraId="05F396DD" w14:textId="0659B81D" w:rsidR="00D8096A" w:rsidRPr="00280DEB" w:rsidRDefault="00D8096A" w:rsidP="00280DEB">
      <w:pPr>
        <w:spacing w:before="100" w:beforeAutospacing="1" w:after="100" w:afterAutospacing="1" w:line="240" w:lineRule="auto"/>
        <w:outlineLvl w:val="2"/>
        <w:rPr>
          <w:rFonts w:asciiTheme="majorBidi" w:eastAsia="Times New Roman" w:hAnsiTheme="majorBidi" w:cstheme="majorBidi"/>
          <w:b/>
          <w:bCs/>
          <w:sz w:val="24"/>
          <w:szCs w:val="24"/>
          <w:lang w:val="en-US"/>
        </w:rPr>
      </w:pPr>
      <w:r w:rsidRPr="00280DEB">
        <w:rPr>
          <w:rFonts w:asciiTheme="majorBidi" w:eastAsia="Times New Roman" w:hAnsiTheme="majorBidi" w:cstheme="majorBidi"/>
          <w:b/>
          <w:bCs/>
          <w:sz w:val="24"/>
          <w:szCs w:val="24"/>
          <w:lang w:val="en-US"/>
        </w:rPr>
        <w:t>Table 4: Final Outcomes of the studied groups.</w:t>
      </w:r>
    </w:p>
    <w:tbl>
      <w:tblPr>
        <w:tblW w:w="9378" w:type="dxa"/>
        <w:tblCellSpacing w:w="15" w:type="dxa"/>
        <w:tblCellMar>
          <w:top w:w="15" w:type="dxa"/>
          <w:left w:w="15" w:type="dxa"/>
          <w:bottom w:w="15" w:type="dxa"/>
          <w:right w:w="15" w:type="dxa"/>
        </w:tblCellMar>
        <w:tblLook w:val="04A0" w:firstRow="1" w:lastRow="0" w:firstColumn="1" w:lastColumn="0" w:noHBand="0" w:noVBand="1"/>
      </w:tblPr>
      <w:tblGrid>
        <w:gridCol w:w="2926"/>
        <w:gridCol w:w="2676"/>
        <w:gridCol w:w="2788"/>
        <w:gridCol w:w="988"/>
      </w:tblGrid>
      <w:tr w:rsidR="00D8096A" w:rsidRPr="00280DEB" w14:paraId="43E1F957" w14:textId="77777777" w:rsidTr="00280DEB">
        <w:trPr>
          <w:trHeight w:val="391"/>
          <w:tblHeader/>
          <w:tblCellSpacing w:w="15" w:type="dxa"/>
        </w:trPr>
        <w:tc>
          <w:tcPr>
            <w:tcW w:w="0" w:type="auto"/>
            <w:vAlign w:val="center"/>
            <w:hideMark/>
          </w:tcPr>
          <w:p w14:paraId="6CEF3DC7" w14:textId="77777777" w:rsidR="00D8096A" w:rsidRPr="00280DEB" w:rsidRDefault="00D8096A" w:rsidP="00280DEB">
            <w:pPr>
              <w:spacing w:after="0" w:line="240" w:lineRule="auto"/>
              <w:jc w:val="center"/>
              <w:rPr>
                <w:rFonts w:asciiTheme="majorBidi" w:eastAsia="Times New Roman" w:hAnsiTheme="majorBidi" w:cstheme="majorBidi"/>
                <w:b/>
                <w:bCs/>
                <w:sz w:val="24"/>
                <w:szCs w:val="24"/>
                <w:lang w:val="en-US"/>
              </w:rPr>
            </w:pPr>
            <w:r w:rsidRPr="00280DEB">
              <w:rPr>
                <w:rFonts w:asciiTheme="majorBidi" w:eastAsia="Times New Roman" w:hAnsiTheme="majorBidi" w:cstheme="majorBidi"/>
                <w:b/>
                <w:bCs/>
                <w:sz w:val="24"/>
                <w:szCs w:val="24"/>
                <w:lang w:val="en-US"/>
              </w:rPr>
              <w:t>Variable</w:t>
            </w:r>
          </w:p>
        </w:tc>
        <w:tc>
          <w:tcPr>
            <w:tcW w:w="0" w:type="auto"/>
            <w:vAlign w:val="center"/>
            <w:hideMark/>
          </w:tcPr>
          <w:p w14:paraId="3121DC8D" w14:textId="77777777" w:rsidR="00D8096A" w:rsidRPr="00280DEB" w:rsidRDefault="00D8096A" w:rsidP="00280DEB">
            <w:pPr>
              <w:spacing w:after="0" w:line="240" w:lineRule="auto"/>
              <w:jc w:val="center"/>
              <w:rPr>
                <w:rFonts w:asciiTheme="majorBidi" w:eastAsia="Times New Roman" w:hAnsiTheme="majorBidi" w:cstheme="majorBidi"/>
                <w:b/>
                <w:bCs/>
                <w:sz w:val="24"/>
                <w:szCs w:val="24"/>
                <w:lang w:val="en-US"/>
              </w:rPr>
            </w:pPr>
            <w:r w:rsidRPr="00280DEB">
              <w:rPr>
                <w:rFonts w:asciiTheme="majorBidi" w:eastAsia="Times New Roman" w:hAnsiTheme="majorBidi" w:cstheme="majorBidi"/>
                <w:b/>
                <w:bCs/>
                <w:sz w:val="24"/>
                <w:szCs w:val="24"/>
                <w:lang w:val="en-US"/>
              </w:rPr>
              <w:t>HFNC Group (N=50)</w:t>
            </w:r>
          </w:p>
        </w:tc>
        <w:tc>
          <w:tcPr>
            <w:tcW w:w="0" w:type="auto"/>
            <w:vAlign w:val="center"/>
            <w:hideMark/>
          </w:tcPr>
          <w:p w14:paraId="7B16DE38" w14:textId="77777777" w:rsidR="00D8096A" w:rsidRPr="00280DEB" w:rsidRDefault="00D8096A" w:rsidP="00280DEB">
            <w:pPr>
              <w:spacing w:after="0" w:line="240" w:lineRule="auto"/>
              <w:jc w:val="center"/>
              <w:rPr>
                <w:rFonts w:asciiTheme="majorBidi" w:eastAsia="Times New Roman" w:hAnsiTheme="majorBidi" w:cstheme="majorBidi"/>
                <w:b/>
                <w:bCs/>
                <w:sz w:val="24"/>
                <w:szCs w:val="24"/>
                <w:lang w:val="en-US"/>
              </w:rPr>
            </w:pPr>
            <w:r w:rsidRPr="00280DEB">
              <w:rPr>
                <w:rFonts w:asciiTheme="majorBidi" w:eastAsia="Times New Roman" w:hAnsiTheme="majorBidi" w:cstheme="majorBidi"/>
                <w:b/>
                <w:bCs/>
                <w:sz w:val="24"/>
                <w:szCs w:val="24"/>
                <w:lang w:val="en-US"/>
              </w:rPr>
              <w:t>nCPAP Group (N=50)</w:t>
            </w:r>
          </w:p>
        </w:tc>
        <w:tc>
          <w:tcPr>
            <w:tcW w:w="0" w:type="auto"/>
            <w:vAlign w:val="center"/>
            <w:hideMark/>
          </w:tcPr>
          <w:p w14:paraId="3757F1BF" w14:textId="77777777" w:rsidR="00D8096A" w:rsidRPr="00280DEB" w:rsidRDefault="00D8096A" w:rsidP="00280DEB">
            <w:pPr>
              <w:spacing w:after="0" w:line="240" w:lineRule="auto"/>
              <w:jc w:val="center"/>
              <w:rPr>
                <w:rFonts w:asciiTheme="majorBidi" w:eastAsia="Times New Roman" w:hAnsiTheme="majorBidi" w:cstheme="majorBidi"/>
                <w:b/>
                <w:bCs/>
                <w:sz w:val="24"/>
                <w:szCs w:val="24"/>
                <w:lang w:val="en-US"/>
              </w:rPr>
            </w:pPr>
            <w:r w:rsidRPr="00280DEB">
              <w:rPr>
                <w:rFonts w:asciiTheme="majorBidi" w:eastAsia="Times New Roman" w:hAnsiTheme="majorBidi" w:cstheme="majorBidi"/>
                <w:b/>
                <w:bCs/>
                <w:sz w:val="24"/>
                <w:szCs w:val="24"/>
                <w:lang w:val="en-US"/>
              </w:rPr>
              <w:t>p-value</w:t>
            </w:r>
          </w:p>
        </w:tc>
      </w:tr>
      <w:tr w:rsidR="00D8096A" w:rsidRPr="00280DEB" w14:paraId="02E55CCC" w14:textId="77777777" w:rsidTr="00280DEB">
        <w:trPr>
          <w:trHeight w:val="413"/>
          <w:tblCellSpacing w:w="15" w:type="dxa"/>
        </w:trPr>
        <w:tc>
          <w:tcPr>
            <w:tcW w:w="0" w:type="auto"/>
            <w:vAlign w:val="center"/>
            <w:hideMark/>
          </w:tcPr>
          <w:p w14:paraId="4F2746FC" w14:textId="77777777" w:rsidR="00D8096A" w:rsidRPr="00280DEB" w:rsidRDefault="00D8096A" w:rsidP="00280DEB">
            <w:pPr>
              <w:spacing w:after="0" w:line="240" w:lineRule="auto"/>
              <w:rPr>
                <w:rFonts w:asciiTheme="majorBidi" w:eastAsia="Times New Roman" w:hAnsiTheme="majorBidi" w:cstheme="majorBidi"/>
                <w:sz w:val="24"/>
                <w:szCs w:val="24"/>
                <w:lang w:val="en-US"/>
              </w:rPr>
            </w:pPr>
            <w:r w:rsidRPr="00280DEB">
              <w:rPr>
                <w:rFonts w:asciiTheme="majorBidi" w:eastAsia="Times New Roman" w:hAnsiTheme="majorBidi" w:cstheme="majorBidi"/>
                <w:b/>
                <w:bCs/>
                <w:sz w:val="24"/>
                <w:szCs w:val="24"/>
                <w:lang w:val="en-US"/>
              </w:rPr>
              <w:t>Final Clinical Outcome</w:t>
            </w:r>
          </w:p>
        </w:tc>
        <w:tc>
          <w:tcPr>
            <w:tcW w:w="0" w:type="auto"/>
            <w:vAlign w:val="center"/>
            <w:hideMark/>
          </w:tcPr>
          <w:p w14:paraId="30DB1D38" w14:textId="77777777" w:rsidR="00D8096A" w:rsidRPr="00280DEB" w:rsidRDefault="00D8096A" w:rsidP="00280DEB">
            <w:pPr>
              <w:spacing w:after="0" w:line="240" w:lineRule="auto"/>
              <w:jc w:val="center"/>
              <w:rPr>
                <w:rFonts w:asciiTheme="majorBidi" w:eastAsia="Times New Roman" w:hAnsiTheme="majorBidi" w:cstheme="majorBidi"/>
                <w:sz w:val="24"/>
                <w:szCs w:val="24"/>
                <w:lang w:val="en-US"/>
              </w:rPr>
            </w:pPr>
          </w:p>
        </w:tc>
        <w:tc>
          <w:tcPr>
            <w:tcW w:w="0" w:type="auto"/>
            <w:vAlign w:val="center"/>
            <w:hideMark/>
          </w:tcPr>
          <w:p w14:paraId="60FCC7DB" w14:textId="77777777" w:rsidR="00D8096A" w:rsidRPr="00280DEB" w:rsidRDefault="00D8096A" w:rsidP="00280DEB">
            <w:pPr>
              <w:spacing w:after="0" w:line="240" w:lineRule="auto"/>
              <w:jc w:val="center"/>
              <w:rPr>
                <w:rFonts w:asciiTheme="majorBidi" w:eastAsia="Times New Roman" w:hAnsiTheme="majorBidi" w:cstheme="majorBidi"/>
                <w:sz w:val="24"/>
                <w:szCs w:val="24"/>
                <w:lang w:val="en-US"/>
              </w:rPr>
            </w:pPr>
          </w:p>
        </w:tc>
        <w:tc>
          <w:tcPr>
            <w:tcW w:w="0" w:type="auto"/>
            <w:vAlign w:val="center"/>
            <w:hideMark/>
          </w:tcPr>
          <w:p w14:paraId="5C8C0695" w14:textId="77777777" w:rsidR="00D8096A" w:rsidRPr="00280DEB" w:rsidRDefault="00D8096A" w:rsidP="00280DEB">
            <w:pPr>
              <w:spacing w:after="0" w:line="240" w:lineRule="auto"/>
              <w:jc w:val="center"/>
              <w:rPr>
                <w:rFonts w:asciiTheme="majorBidi" w:eastAsia="Times New Roman" w:hAnsiTheme="majorBidi" w:cstheme="majorBidi"/>
                <w:sz w:val="24"/>
                <w:szCs w:val="24"/>
                <w:lang w:val="en-US"/>
              </w:rPr>
            </w:pPr>
          </w:p>
        </w:tc>
      </w:tr>
      <w:tr w:rsidR="00D8096A" w:rsidRPr="00280DEB" w14:paraId="50A21601" w14:textId="77777777" w:rsidTr="00280DEB">
        <w:trPr>
          <w:trHeight w:val="391"/>
          <w:tblCellSpacing w:w="15" w:type="dxa"/>
        </w:trPr>
        <w:tc>
          <w:tcPr>
            <w:tcW w:w="0" w:type="auto"/>
            <w:vAlign w:val="center"/>
            <w:hideMark/>
          </w:tcPr>
          <w:p w14:paraId="3425A958" w14:textId="77777777" w:rsidR="00D8096A" w:rsidRPr="00280DEB" w:rsidRDefault="00D8096A" w:rsidP="00280DEB">
            <w:pPr>
              <w:spacing w:after="0" w:line="240" w:lineRule="auto"/>
              <w:rPr>
                <w:rFonts w:asciiTheme="majorBidi" w:eastAsia="Times New Roman" w:hAnsiTheme="majorBidi" w:cstheme="majorBidi"/>
                <w:sz w:val="24"/>
                <w:szCs w:val="24"/>
                <w:lang w:val="en-US"/>
              </w:rPr>
            </w:pPr>
            <w:r w:rsidRPr="00280DEB">
              <w:rPr>
                <w:rFonts w:asciiTheme="majorBidi" w:eastAsia="Times New Roman" w:hAnsiTheme="majorBidi" w:cstheme="majorBidi"/>
                <w:sz w:val="24"/>
                <w:szCs w:val="24"/>
                <w:lang w:val="en-US"/>
              </w:rPr>
              <w:t>Died</w:t>
            </w:r>
          </w:p>
        </w:tc>
        <w:tc>
          <w:tcPr>
            <w:tcW w:w="0" w:type="auto"/>
            <w:vAlign w:val="center"/>
            <w:hideMark/>
          </w:tcPr>
          <w:p w14:paraId="23DE6765" w14:textId="77777777" w:rsidR="00D8096A" w:rsidRPr="00280DEB" w:rsidRDefault="00D8096A" w:rsidP="00280DEB">
            <w:pPr>
              <w:spacing w:after="0" w:line="240" w:lineRule="auto"/>
              <w:jc w:val="center"/>
              <w:rPr>
                <w:rFonts w:asciiTheme="majorBidi" w:eastAsia="Times New Roman" w:hAnsiTheme="majorBidi" w:cstheme="majorBidi"/>
                <w:sz w:val="24"/>
                <w:szCs w:val="24"/>
                <w:lang w:val="en-US"/>
              </w:rPr>
            </w:pPr>
            <w:r w:rsidRPr="00280DEB">
              <w:rPr>
                <w:rFonts w:asciiTheme="majorBidi" w:eastAsia="Times New Roman" w:hAnsiTheme="majorBidi" w:cstheme="majorBidi"/>
                <w:sz w:val="24"/>
                <w:szCs w:val="24"/>
                <w:lang w:val="en-US"/>
              </w:rPr>
              <w:t>6 (12.0%)</w:t>
            </w:r>
          </w:p>
        </w:tc>
        <w:tc>
          <w:tcPr>
            <w:tcW w:w="0" w:type="auto"/>
            <w:vAlign w:val="center"/>
            <w:hideMark/>
          </w:tcPr>
          <w:p w14:paraId="263150AE" w14:textId="77777777" w:rsidR="00D8096A" w:rsidRPr="00280DEB" w:rsidRDefault="00D8096A" w:rsidP="00280DEB">
            <w:pPr>
              <w:spacing w:after="0" w:line="240" w:lineRule="auto"/>
              <w:jc w:val="center"/>
              <w:rPr>
                <w:rFonts w:asciiTheme="majorBidi" w:eastAsia="Times New Roman" w:hAnsiTheme="majorBidi" w:cstheme="majorBidi"/>
                <w:sz w:val="24"/>
                <w:szCs w:val="24"/>
                <w:lang w:val="en-US"/>
              </w:rPr>
            </w:pPr>
            <w:r w:rsidRPr="00280DEB">
              <w:rPr>
                <w:rFonts w:asciiTheme="majorBidi" w:eastAsia="Times New Roman" w:hAnsiTheme="majorBidi" w:cstheme="majorBidi"/>
                <w:sz w:val="24"/>
                <w:szCs w:val="24"/>
                <w:lang w:val="en-US"/>
              </w:rPr>
              <w:t>9 (18.0%)</w:t>
            </w:r>
          </w:p>
        </w:tc>
        <w:tc>
          <w:tcPr>
            <w:tcW w:w="0" w:type="auto"/>
            <w:vAlign w:val="center"/>
            <w:hideMark/>
          </w:tcPr>
          <w:p w14:paraId="4CF0E586" w14:textId="77777777" w:rsidR="00D8096A" w:rsidRPr="00280DEB" w:rsidRDefault="00D8096A" w:rsidP="00280DEB">
            <w:pPr>
              <w:spacing w:after="0" w:line="240" w:lineRule="auto"/>
              <w:jc w:val="center"/>
              <w:rPr>
                <w:rFonts w:asciiTheme="majorBidi" w:eastAsia="Times New Roman" w:hAnsiTheme="majorBidi" w:cstheme="majorBidi"/>
                <w:sz w:val="24"/>
                <w:szCs w:val="24"/>
                <w:lang w:val="en-US"/>
              </w:rPr>
            </w:pPr>
            <w:r w:rsidRPr="00280DEB">
              <w:rPr>
                <w:rFonts w:asciiTheme="majorBidi" w:eastAsia="Times New Roman" w:hAnsiTheme="majorBidi" w:cstheme="majorBidi"/>
                <w:sz w:val="24"/>
                <w:szCs w:val="24"/>
                <w:lang w:val="en-US"/>
              </w:rPr>
              <w:t>0.401</w:t>
            </w:r>
          </w:p>
        </w:tc>
      </w:tr>
      <w:tr w:rsidR="00D8096A" w:rsidRPr="00280DEB" w14:paraId="59439E04" w14:textId="77777777" w:rsidTr="00280DEB">
        <w:trPr>
          <w:trHeight w:val="413"/>
          <w:tblCellSpacing w:w="15" w:type="dxa"/>
        </w:trPr>
        <w:tc>
          <w:tcPr>
            <w:tcW w:w="0" w:type="auto"/>
            <w:vAlign w:val="center"/>
            <w:hideMark/>
          </w:tcPr>
          <w:p w14:paraId="7532F369" w14:textId="77777777" w:rsidR="00D8096A" w:rsidRPr="00280DEB" w:rsidRDefault="00D8096A" w:rsidP="00280DEB">
            <w:pPr>
              <w:spacing w:after="0" w:line="240" w:lineRule="auto"/>
              <w:rPr>
                <w:rFonts w:asciiTheme="majorBidi" w:eastAsia="Times New Roman" w:hAnsiTheme="majorBidi" w:cstheme="majorBidi"/>
                <w:sz w:val="24"/>
                <w:szCs w:val="24"/>
                <w:lang w:val="en-US"/>
              </w:rPr>
            </w:pPr>
            <w:r w:rsidRPr="00280DEB">
              <w:rPr>
                <w:rFonts w:asciiTheme="majorBidi" w:eastAsia="Times New Roman" w:hAnsiTheme="majorBidi" w:cstheme="majorBidi"/>
                <w:sz w:val="24"/>
                <w:szCs w:val="24"/>
                <w:lang w:val="en-US"/>
              </w:rPr>
              <w:t>Discharged</w:t>
            </w:r>
          </w:p>
        </w:tc>
        <w:tc>
          <w:tcPr>
            <w:tcW w:w="0" w:type="auto"/>
            <w:vAlign w:val="center"/>
            <w:hideMark/>
          </w:tcPr>
          <w:p w14:paraId="3EB0F530" w14:textId="77777777" w:rsidR="00D8096A" w:rsidRPr="00280DEB" w:rsidRDefault="00D8096A" w:rsidP="00280DEB">
            <w:pPr>
              <w:spacing w:after="0" w:line="240" w:lineRule="auto"/>
              <w:jc w:val="center"/>
              <w:rPr>
                <w:rFonts w:asciiTheme="majorBidi" w:eastAsia="Times New Roman" w:hAnsiTheme="majorBidi" w:cstheme="majorBidi"/>
                <w:sz w:val="24"/>
                <w:szCs w:val="24"/>
                <w:lang w:val="en-US"/>
              </w:rPr>
            </w:pPr>
            <w:r w:rsidRPr="00280DEB">
              <w:rPr>
                <w:rFonts w:asciiTheme="majorBidi" w:eastAsia="Times New Roman" w:hAnsiTheme="majorBidi" w:cstheme="majorBidi"/>
                <w:sz w:val="24"/>
                <w:szCs w:val="24"/>
                <w:lang w:val="en-US"/>
              </w:rPr>
              <w:t>44 (88.0%)</w:t>
            </w:r>
          </w:p>
        </w:tc>
        <w:tc>
          <w:tcPr>
            <w:tcW w:w="0" w:type="auto"/>
            <w:vAlign w:val="center"/>
            <w:hideMark/>
          </w:tcPr>
          <w:p w14:paraId="25BAF773" w14:textId="77777777" w:rsidR="00D8096A" w:rsidRPr="00280DEB" w:rsidRDefault="00D8096A" w:rsidP="00280DEB">
            <w:pPr>
              <w:spacing w:after="0" w:line="240" w:lineRule="auto"/>
              <w:jc w:val="center"/>
              <w:rPr>
                <w:rFonts w:asciiTheme="majorBidi" w:eastAsia="Times New Roman" w:hAnsiTheme="majorBidi" w:cstheme="majorBidi"/>
                <w:sz w:val="24"/>
                <w:szCs w:val="24"/>
                <w:lang w:val="en-US"/>
              </w:rPr>
            </w:pPr>
            <w:r w:rsidRPr="00280DEB">
              <w:rPr>
                <w:rFonts w:asciiTheme="majorBidi" w:eastAsia="Times New Roman" w:hAnsiTheme="majorBidi" w:cstheme="majorBidi"/>
                <w:sz w:val="24"/>
                <w:szCs w:val="24"/>
                <w:lang w:val="en-US"/>
              </w:rPr>
              <w:t>41 (82.0%)</w:t>
            </w:r>
          </w:p>
        </w:tc>
        <w:tc>
          <w:tcPr>
            <w:tcW w:w="0" w:type="auto"/>
            <w:vAlign w:val="center"/>
            <w:hideMark/>
          </w:tcPr>
          <w:p w14:paraId="10B3B56C" w14:textId="77777777" w:rsidR="00D8096A" w:rsidRPr="00280DEB" w:rsidRDefault="00D8096A" w:rsidP="00280DEB">
            <w:pPr>
              <w:spacing w:after="0" w:line="240" w:lineRule="auto"/>
              <w:jc w:val="center"/>
              <w:rPr>
                <w:rFonts w:asciiTheme="majorBidi" w:eastAsia="Times New Roman" w:hAnsiTheme="majorBidi" w:cstheme="majorBidi"/>
                <w:sz w:val="24"/>
                <w:szCs w:val="24"/>
                <w:lang w:val="en-US"/>
              </w:rPr>
            </w:pPr>
          </w:p>
        </w:tc>
      </w:tr>
    </w:tbl>
    <w:p w14:paraId="1211D89F" w14:textId="77777777" w:rsidR="00D8096A" w:rsidRPr="00280DEB" w:rsidRDefault="00D8096A" w:rsidP="00280DEB">
      <w:pPr>
        <w:widowControl w:val="0"/>
        <w:autoSpaceDE w:val="0"/>
        <w:autoSpaceDN w:val="0"/>
        <w:adjustRightInd w:val="0"/>
        <w:spacing w:after="0" w:line="240" w:lineRule="auto"/>
        <w:rPr>
          <w:rFonts w:asciiTheme="majorBidi" w:eastAsia="Times New Roman" w:hAnsiTheme="majorBidi" w:cstheme="majorBidi"/>
          <w:sz w:val="24"/>
          <w:szCs w:val="24"/>
          <w:lang w:val="en-US"/>
        </w:rPr>
      </w:pPr>
      <w:r w:rsidRPr="00280DEB">
        <w:rPr>
          <w:rFonts w:asciiTheme="majorBidi" w:eastAsia="Times New Roman" w:hAnsiTheme="majorBidi" w:cstheme="majorBidi"/>
          <w:sz w:val="24"/>
          <w:szCs w:val="24"/>
          <w:lang w:val="en-US"/>
        </w:rPr>
        <w:t>Data represent as number (percentage).</w:t>
      </w:r>
    </w:p>
    <w:p w14:paraId="51B00515" w14:textId="76A9B748" w:rsidR="00D8096A" w:rsidRDefault="00D8096A" w:rsidP="00280DEB">
      <w:pPr>
        <w:widowControl w:val="0"/>
        <w:autoSpaceDE w:val="0"/>
        <w:autoSpaceDN w:val="0"/>
        <w:adjustRightInd w:val="0"/>
        <w:spacing w:after="0" w:line="240" w:lineRule="auto"/>
        <w:rPr>
          <w:rFonts w:asciiTheme="majorBidi" w:eastAsia="Times New Roman" w:hAnsiTheme="majorBidi" w:cstheme="majorBidi"/>
          <w:sz w:val="24"/>
          <w:szCs w:val="24"/>
          <w:lang w:val="en-US"/>
        </w:rPr>
      </w:pPr>
      <w:r w:rsidRPr="00280DEB">
        <w:rPr>
          <w:rFonts w:asciiTheme="majorBidi" w:eastAsia="Calibri" w:hAnsiTheme="majorBidi" w:cstheme="majorBidi"/>
          <w:sz w:val="24"/>
          <w:szCs w:val="24"/>
          <w:lang w:val="en-US"/>
        </w:rPr>
        <w:t>p: p value for comparing between the two studied groups or within group.   *: Statistically significant at p ≤ 0.05</w:t>
      </w:r>
    </w:p>
    <w:p w14:paraId="67E92C08" w14:textId="774B17E1" w:rsidR="00A053E4" w:rsidRDefault="00A053E4" w:rsidP="00280DEB">
      <w:pPr>
        <w:widowControl w:val="0"/>
        <w:autoSpaceDE w:val="0"/>
        <w:autoSpaceDN w:val="0"/>
        <w:adjustRightInd w:val="0"/>
        <w:spacing w:after="0" w:line="240" w:lineRule="auto"/>
        <w:rPr>
          <w:rFonts w:asciiTheme="majorBidi" w:eastAsia="Times New Roman" w:hAnsiTheme="majorBidi" w:cstheme="majorBidi"/>
          <w:sz w:val="24"/>
          <w:szCs w:val="24"/>
          <w:lang w:val="en-US"/>
        </w:rPr>
      </w:pPr>
    </w:p>
    <w:p w14:paraId="79C21CED" w14:textId="77777777" w:rsidR="00A053E4" w:rsidRPr="00A053E4" w:rsidRDefault="00A053E4" w:rsidP="00A053E4">
      <w:pPr>
        <w:widowControl w:val="0"/>
        <w:autoSpaceDE w:val="0"/>
        <w:autoSpaceDN w:val="0"/>
        <w:adjustRightInd w:val="0"/>
        <w:spacing w:after="0" w:line="360" w:lineRule="auto"/>
        <w:rPr>
          <w:rFonts w:asciiTheme="majorBidi" w:eastAsia="Times New Roman" w:hAnsiTheme="majorBidi" w:cstheme="majorBidi"/>
          <w:sz w:val="24"/>
          <w:szCs w:val="24"/>
          <w:lang w:val="en-US"/>
        </w:rPr>
      </w:pPr>
      <w:r w:rsidRPr="00A053E4">
        <w:rPr>
          <w:rFonts w:asciiTheme="majorBidi" w:eastAsia="Times New Roman" w:hAnsiTheme="majorBidi" w:cstheme="majorBidi"/>
          <w:sz w:val="24"/>
          <w:szCs w:val="24"/>
          <w:lang w:val="en-US"/>
        </w:rPr>
        <w:t>Table (4) shows mortality was lower in the HFNC group (12% vs. 18%), but this difference was not statistically significant (p=0.401).</w:t>
      </w:r>
    </w:p>
    <w:p w14:paraId="16DFFEF0" w14:textId="77777777" w:rsidR="00A053E4" w:rsidRPr="00280DEB" w:rsidRDefault="00A053E4" w:rsidP="00A053E4">
      <w:pPr>
        <w:widowControl w:val="0"/>
        <w:autoSpaceDE w:val="0"/>
        <w:autoSpaceDN w:val="0"/>
        <w:adjustRightInd w:val="0"/>
        <w:spacing w:after="0" w:line="360" w:lineRule="auto"/>
        <w:rPr>
          <w:rFonts w:asciiTheme="majorBidi" w:eastAsia="Times New Roman" w:hAnsiTheme="majorBidi" w:cstheme="majorBidi"/>
          <w:sz w:val="24"/>
          <w:szCs w:val="24"/>
          <w:lang w:val="en-US"/>
        </w:rPr>
      </w:pPr>
    </w:p>
    <w:p w14:paraId="68BFCEBE" w14:textId="77777777" w:rsidR="00D8096A" w:rsidRPr="00280DEB" w:rsidRDefault="00D8096A" w:rsidP="002E2A1E">
      <w:pPr>
        <w:widowControl w:val="0"/>
        <w:autoSpaceDE w:val="0"/>
        <w:autoSpaceDN w:val="0"/>
        <w:adjustRightInd w:val="0"/>
        <w:spacing w:after="0" w:line="480" w:lineRule="auto"/>
        <w:rPr>
          <w:rFonts w:asciiTheme="majorBidi" w:hAnsiTheme="majorBidi" w:cstheme="majorBidi"/>
          <w:sz w:val="24"/>
          <w:szCs w:val="24"/>
        </w:rPr>
      </w:pPr>
    </w:p>
    <w:p w14:paraId="216B403E" w14:textId="77777777" w:rsidR="00D8096A" w:rsidRPr="00280DEB" w:rsidRDefault="00D8096A" w:rsidP="003E0685">
      <w:pPr>
        <w:widowControl w:val="0"/>
        <w:autoSpaceDE w:val="0"/>
        <w:autoSpaceDN w:val="0"/>
        <w:adjustRightInd w:val="0"/>
        <w:spacing w:after="0" w:line="480" w:lineRule="auto"/>
        <w:jc w:val="both"/>
        <w:rPr>
          <w:rFonts w:asciiTheme="majorBidi" w:hAnsiTheme="majorBidi" w:cstheme="majorBidi"/>
          <w:b/>
          <w:bCs/>
          <w:caps/>
          <w:sz w:val="24"/>
          <w:szCs w:val="24"/>
        </w:rPr>
      </w:pPr>
      <w:r w:rsidRPr="00280DEB">
        <w:rPr>
          <w:rFonts w:asciiTheme="majorBidi" w:hAnsiTheme="majorBidi" w:cstheme="majorBidi"/>
          <w:b/>
          <w:bCs/>
          <w:sz w:val="24"/>
          <w:szCs w:val="24"/>
        </w:rPr>
        <w:t>Discussion</w:t>
      </w:r>
    </w:p>
    <w:p w14:paraId="2A8C4F9C" w14:textId="77777777" w:rsidR="00235939" w:rsidRPr="003F471B" w:rsidRDefault="00235939" w:rsidP="00235939">
      <w:pPr>
        <w:widowControl w:val="0"/>
        <w:autoSpaceDE w:val="0"/>
        <w:autoSpaceDN w:val="0"/>
        <w:adjustRightInd w:val="0"/>
        <w:spacing w:after="0" w:line="480" w:lineRule="auto"/>
        <w:jc w:val="both"/>
        <w:rPr>
          <w:rFonts w:asciiTheme="majorBidi" w:hAnsiTheme="majorBidi" w:cstheme="majorBidi"/>
          <w:sz w:val="24"/>
          <w:szCs w:val="24"/>
          <w:lang w:val="en-US"/>
        </w:rPr>
      </w:pPr>
      <w:r w:rsidRPr="00235939">
        <w:rPr>
          <w:rFonts w:asciiTheme="majorBidi" w:hAnsiTheme="majorBidi" w:cstheme="majorBidi"/>
          <w:sz w:val="24"/>
          <w:szCs w:val="24"/>
          <w:lang w:val="en-US"/>
        </w:rPr>
        <w:t xml:space="preserve">This randomized controlled trial comparing HFNC versus nCPAP in preterm infants with RDS demonstrates several clinically significant advantages of HFNC, particularly in resource utilization </w:t>
      </w:r>
      <w:r w:rsidRPr="003F471B">
        <w:rPr>
          <w:rFonts w:asciiTheme="majorBidi" w:hAnsiTheme="majorBidi" w:cstheme="majorBidi"/>
          <w:sz w:val="24"/>
          <w:szCs w:val="24"/>
          <w:lang w:val="en-US"/>
        </w:rPr>
        <w:t>and feeding outcomes, while maintaining comparable safety profiles.</w:t>
      </w:r>
    </w:p>
    <w:p w14:paraId="63D6D947" w14:textId="3C0246E7" w:rsidR="00235939" w:rsidRPr="00235939" w:rsidRDefault="009C097F" w:rsidP="00235939">
      <w:pPr>
        <w:widowControl w:val="0"/>
        <w:autoSpaceDE w:val="0"/>
        <w:autoSpaceDN w:val="0"/>
        <w:adjustRightInd w:val="0"/>
        <w:spacing w:after="0" w:line="480" w:lineRule="auto"/>
        <w:jc w:val="both"/>
        <w:rPr>
          <w:rFonts w:asciiTheme="majorBidi" w:hAnsiTheme="majorBidi" w:cstheme="majorBidi"/>
          <w:sz w:val="24"/>
          <w:szCs w:val="24"/>
          <w:lang w:val="en-US"/>
        </w:rPr>
      </w:pPr>
      <w:r w:rsidRPr="003F471B">
        <w:rPr>
          <w:rFonts w:asciiTheme="majorBidi" w:hAnsiTheme="majorBidi" w:cstheme="majorBidi"/>
          <w:sz w:val="24"/>
          <w:szCs w:val="24"/>
          <w:lang w:val="en-US"/>
        </w:rPr>
        <w:t>The</w:t>
      </w:r>
      <w:r w:rsidR="00235939" w:rsidRPr="003F471B">
        <w:rPr>
          <w:rFonts w:asciiTheme="majorBidi" w:hAnsiTheme="majorBidi" w:cstheme="majorBidi"/>
          <w:sz w:val="24"/>
          <w:szCs w:val="24"/>
          <w:lang w:val="en-US"/>
        </w:rPr>
        <w:t xml:space="preserve"> finding</w:t>
      </w:r>
      <w:r w:rsidR="00235939" w:rsidRPr="00235939">
        <w:rPr>
          <w:rFonts w:asciiTheme="majorBidi" w:hAnsiTheme="majorBidi" w:cstheme="majorBidi"/>
          <w:sz w:val="24"/>
          <w:szCs w:val="24"/>
          <w:lang w:val="en-US"/>
        </w:rPr>
        <w:t xml:space="preserve"> of significantly shorter respiratory support duration in the HFNC group (5.42 vs 6.87 </w:t>
      </w:r>
      <w:r w:rsidR="00235939" w:rsidRPr="003F471B">
        <w:rPr>
          <w:rFonts w:asciiTheme="majorBidi" w:hAnsiTheme="majorBidi" w:cstheme="majorBidi"/>
          <w:sz w:val="24"/>
          <w:szCs w:val="24"/>
          <w:lang w:val="en-US"/>
        </w:rPr>
        <w:t>days, p=0.045) aligns with Luo et al. (7), who found HFNC was associated with shorter oxygen</w:t>
      </w:r>
      <w:r w:rsidR="00235939" w:rsidRPr="00235939">
        <w:rPr>
          <w:rFonts w:asciiTheme="majorBidi" w:hAnsiTheme="majorBidi" w:cstheme="majorBidi"/>
          <w:sz w:val="24"/>
          <w:szCs w:val="24"/>
          <w:lang w:val="en-US"/>
        </w:rPr>
        <w:t xml:space="preserve"> therapy duration compared to nCPAP (SMD = −0.35, 95% CI: −0.68 to −0.02). However, this contrasts with Uchiyama et al. (8), who reported that HFNC might require slightly longer non-invasive support post-extubation. The significantly shorter supplemental oxygen duration in our HFNC group (10.54 vs 12.98 days, p=0.030) may be attributed to HFNC's superior comfort and </w:t>
      </w:r>
      <w:r w:rsidR="00235939" w:rsidRPr="00235939">
        <w:rPr>
          <w:rFonts w:asciiTheme="majorBidi" w:hAnsiTheme="majorBidi" w:cstheme="majorBidi"/>
          <w:sz w:val="24"/>
          <w:szCs w:val="24"/>
          <w:lang w:val="en-US"/>
        </w:rPr>
        <w:lastRenderedPageBreak/>
        <w:t>ease of use for moderately ill infants (7).</w:t>
      </w:r>
    </w:p>
    <w:p w14:paraId="445A6F2E" w14:textId="54651828" w:rsidR="00235939" w:rsidRPr="00235939" w:rsidRDefault="00235939" w:rsidP="00235939">
      <w:pPr>
        <w:widowControl w:val="0"/>
        <w:autoSpaceDE w:val="0"/>
        <w:autoSpaceDN w:val="0"/>
        <w:adjustRightInd w:val="0"/>
        <w:spacing w:after="0" w:line="480" w:lineRule="auto"/>
        <w:jc w:val="both"/>
        <w:rPr>
          <w:rFonts w:asciiTheme="majorBidi" w:hAnsiTheme="majorBidi" w:cstheme="majorBidi"/>
          <w:sz w:val="24"/>
          <w:szCs w:val="24"/>
          <w:lang w:val="en-US"/>
        </w:rPr>
      </w:pPr>
      <w:r w:rsidRPr="00235939">
        <w:rPr>
          <w:rFonts w:asciiTheme="majorBidi" w:hAnsiTheme="majorBidi" w:cstheme="majorBidi"/>
          <w:sz w:val="24"/>
          <w:szCs w:val="24"/>
          <w:lang w:val="en-US"/>
        </w:rPr>
        <w:t xml:space="preserve">While </w:t>
      </w:r>
      <w:r w:rsidR="00A5437D" w:rsidRPr="003F471B">
        <w:rPr>
          <w:rFonts w:asciiTheme="majorBidi" w:hAnsiTheme="majorBidi" w:cstheme="majorBidi"/>
          <w:sz w:val="24"/>
          <w:szCs w:val="24"/>
          <w:lang w:val="en-US"/>
        </w:rPr>
        <w:t>the present work</w:t>
      </w:r>
      <w:r w:rsidR="00A5437D">
        <w:rPr>
          <w:rFonts w:asciiTheme="majorBidi" w:hAnsiTheme="majorBidi" w:cstheme="majorBidi"/>
          <w:sz w:val="24"/>
          <w:szCs w:val="24"/>
          <w:lang w:val="en-US"/>
        </w:rPr>
        <w:t xml:space="preserve"> </w:t>
      </w:r>
      <w:r w:rsidRPr="00235939">
        <w:rPr>
          <w:rFonts w:asciiTheme="majorBidi" w:hAnsiTheme="majorBidi" w:cstheme="majorBidi"/>
          <w:sz w:val="24"/>
          <w:szCs w:val="24"/>
          <w:lang w:val="en-US"/>
        </w:rPr>
        <w:t xml:space="preserve"> showed numerically higher success rates for HFNC (80% vs 70% successful weaning), this difference was not statistically significant, consistent with Singh et al. (9), who concluded HFNC was non-inferior to nCPAP with comparable failure rates. Similarly, Zhu et al. (10) found no significant difference between modalities in weaning success and mechanical ventilation needs. A study Zhu et al. (10), who reported lower mechanical ventilation incidence with HFNC, especially in 26-29 week infants, support the result toward lower mechanical ventilation requirements in our HFNC group (14% vs 26%).</w:t>
      </w:r>
    </w:p>
    <w:p w14:paraId="5C681140" w14:textId="77777777" w:rsidR="00235939" w:rsidRPr="003F471B" w:rsidRDefault="00235939" w:rsidP="001F7184">
      <w:pPr>
        <w:widowControl w:val="0"/>
        <w:autoSpaceDE w:val="0"/>
        <w:autoSpaceDN w:val="0"/>
        <w:adjustRightInd w:val="0"/>
        <w:spacing w:after="0" w:line="480" w:lineRule="auto"/>
        <w:jc w:val="both"/>
        <w:rPr>
          <w:rFonts w:asciiTheme="majorBidi" w:hAnsiTheme="majorBidi" w:cstheme="majorBidi"/>
          <w:sz w:val="24"/>
          <w:szCs w:val="24"/>
          <w:lang w:val="en-US"/>
        </w:rPr>
      </w:pPr>
      <w:r w:rsidRPr="00235939">
        <w:rPr>
          <w:rFonts w:asciiTheme="majorBidi" w:hAnsiTheme="majorBidi" w:cstheme="majorBidi"/>
          <w:sz w:val="24"/>
          <w:szCs w:val="24"/>
          <w:lang w:val="en-US"/>
        </w:rPr>
        <w:t xml:space="preserve">Our most </w:t>
      </w:r>
      <w:r w:rsidR="001F7184">
        <w:rPr>
          <w:rFonts w:asciiTheme="majorBidi" w:hAnsiTheme="majorBidi" w:cstheme="majorBidi"/>
          <w:sz w:val="24"/>
          <w:szCs w:val="24"/>
          <w:lang w:val="en-US"/>
        </w:rPr>
        <w:t>interesting</w:t>
      </w:r>
      <w:r w:rsidRPr="00235939">
        <w:rPr>
          <w:rFonts w:asciiTheme="majorBidi" w:hAnsiTheme="majorBidi" w:cstheme="majorBidi"/>
          <w:sz w:val="24"/>
          <w:szCs w:val="24"/>
          <w:lang w:val="en-US"/>
        </w:rPr>
        <w:t xml:space="preserve"> finding was significantly shorter hospitalization in the HFNC group (8.36 vs 13.22 days, p&lt;0.001), representing a 37% reduction. This is supported by Luo et al. (7), who reported shorter hospital stays with HFNC (mean difference: −3.2 days, 95% CI: −4.8 to −1.6). However, Uchiyama et al. (8) and Zhu et al. (10) found no significant differences, suggesting results may vary based on healthcare systems and discharge criteria. This substantial reduction has </w:t>
      </w:r>
      <w:r w:rsidRPr="003F471B">
        <w:rPr>
          <w:rFonts w:asciiTheme="majorBidi" w:hAnsiTheme="majorBidi" w:cstheme="majorBidi"/>
          <w:sz w:val="24"/>
          <w:szCs w:val="24"/>
          <w:lang w:val="en-US"/>
        </w:rPr>
        <w:t>important implications for healthcare economics and family dynamics.</w:t>
      </w:r>
    </w:p>
    <w:p w14:paraId="1F6AA06A" w14:textId="77777777" w:rsidR="00235939" w:rsidRPr="00235939" w:rsidRDefault="00235939" w:rsidP="00235939">
      <w:pPr>
        <w:widowControl w:val="0"/>
        <w:autoSpaceDE w:val="0"/>
        <w:autoSpaceDN w:val="0"/>
        <w:adjustRightInd w:val="0"/>
        <w:spacing w:after="0" w:line="480" w:lineRule="auto"/>
        <w:jc w:val="both"/>
        <w:rPr>
          <w:rFonts w:asciiTheme="majorBidi" w:hAnsiTheme="majorBidi" w:cstheme="majorBidi"/>
          <w:sz w:val="24"/>
          <w:szCs w:val="24"/>
          <w:lang w:val="en-US"/>
        </w:rPr>
      </w:pPr>
      <w:r w:rsidRPr="003F471B">
        <w:rPr>
          <w:rFonts w:asciiTheme="majorBidi" w:hAnsiTheme="majorBidi" w:cstheme="majorBidi"/>
          <w:sz w:val="24"/>
          <w:szCs w:val="24"/>
          <w:lang w:val="en-US"/>
        </w:rPr>
        <w:t>In the current study,</w:t>
      </w:r>
      <w:r w:rsidRPr="00235939">
        <w:rPr>
          <w:rFonts w:asciiTheme="majorBidi" w:hAnsiTheme="majorBidi" w:cstheme="majorBidi"/>
          <w:sz w:val="24"/>
          <w:szCs w:val="24"/>
          <w:lang w:val="en-US"/>
        </w:rPr>
        <w:t xml:space="preserve"> the significantly earlier enteral feeding initiation in the HFNC group (2.1 vs 3.5 days, p=0.030) and faster progression to full feeds (9.2 vs 11.6 days, p=0.007) represent clinically important advantages. This may reflect better respiratory stability with HFNC, as lower pressure delivery interferes less with gastric emptying. These findings are consistent with Walsh et al. (11) and </w:t>
      </w:r>
      <w:proofErr w:type="spellStart"/>
      <w:r w:rsidRPr="00235939">
        <w:rPr>
          <w:rFonts w:asciiTheme="majorBidi" w:hAnsiTheme="majorBidi" w:cstheme="majorBidi"/>
          <w:sz w:val="24"/>
          <w:szCs w:val="24"/>
          <w:lang w:val="en-US"/>
        </w:rPr>
        <w:t>Razzaghy</w:t>
      </w:r>
      <w:proofErr w:type="spellEnd"/>
      <w:r w:rsidRPr="00235939">
        <w:rPr>
          <w:rFonts w:asciiTheme="majorBidi" w:hAnsiTheme="majorBidi" w:cstheme="majorBidi"/>
          <w:sz w:val="24"/>
          <w:szCs w:val="24"/>
          <w:lang w:val="en-US"/>
        </w:rPr>
        <w:t xml:space="preserve"> et al. (12), who found early feeding protocols improved gastrointestinal tolerance. </w:t>
      </w:r>
      <w:proofErr w:type="spellStart"/>
      <w:r w:rsidRPr="00235939">
        <w:rPr>
          <w:rFonts w:asciiTheme="majorBidi" w:hAnsiTheme="majorBidi" w:cstheme="majorBidi"/>
          <w:sz w:val="24"/>
          <w:szCs w:val="24"/>
          <w:lang w:val="en-US"/>
        </w:rPr>
        <w:t>Boscarino</w:t>
      </w:r>
      <w:proofErr w:type="spellEnd"/>
      <w:r w:rsidRPr="00235939">
        <w:rPr>
          <w:rFonts w:asciiTheme="majorBidi" w:hAnsiTheme="majorBidi" w:cstheme="majorBidi"/>
          <w:sz w:val="24"/>
          <w:szCs w:val="24"/>
          <w:lang w:val="en-US"/>
        </w:rPr>
        <w:t xml:space="preserve"> et al. (13) similarly reported that early enteral feeding reduced complications in HFNC-supported infants.</w:t>
      </w:r>
    </w:p>
    <w:p w14:paraId="5898C604" w14:textId="77777777" w:rsidR="00235939" w:rsidRPr="00235939" w:rsidRDefault="00235939" w:rsidP="00235939">
      <w:pPr>
        <w:widowControl w:val="0"/>
        <w:autoSpaceDE w:val="0"/>
        <w:autoSpaceDN w:val="0"/>
        <w:adjustRightInd w:val="0"/>
        <w:spacing w:after="0" w:line="480" w:lineRule="auto"/>
        <w:jc w:val="both"/>
        <w:rPr>
          <w:rFonts w:asciiTheme="majorBidi" w:hAnsiTheme="majorBidi" w:cstheme="majorBidi"/>
          <w:sz w:val="24"/>
          <w:szCs w:val="24"/>
          <w:lang w:val="en-US"/>
        </w:rPr>
      </w:pPr>
      <w:r w:rsidRPr="00235939">
        <w:rPr>
          <w:rFonts w:asciiTheme="majorBidi" w:hAnsiTheme="majorBidi" w:cstheme="majorBidi"/>
          <w:sz w:val="24"/>
          <w:szCs w:val="24"/>
          <w:lang w:val="en-US"/>
        </w:rPr>
        <w:t xml:space="preserve">The lower nasal trauma rate in our HFNC group (6% vs 16%), while not statistically significant in our results, aligns with Luo et al. (7), who reported significantly lower nasal trauma with HFNC </w:t>
      </w:r>
      <w:r w:rsidRPr="00235939">
        <w:rPr>
          <w:rFonts w:asciiTheme="majorBidi" w:hAnsiTheme="majorBidi" w:cstheme="majorBidi"/>
          <w:sz w:val="24"/>
          <w:szCs w:val="24"/>
          <w:lang w:val="en-US"/>
        </w:rPr>
        <w:lastRenderedPageBreak/>
        <w:t xml:space="preserve">(RR = 0.36, 95% CI: 0.29–0.45). Lower apnea rates (8% vs 18%) align with </w:t>
      </w:r>
      <w:proofErr w:type="spellStart"/>
      <w:r w:rsidRPr="00235939">
        <w:rPr>
          <w:rFonts w:asciiTheme="majorBidi" w:hAnsiTheme="majorBidi" w:cstheme="majorBidi"/>
          <w:sz w:val="24"/>
          <w:szCs w:val="24"/>
          <w:lang w:val="en-US"/>
        </w:rPr>
        <w:t>Iranpour</w:t>
      </w:r>
      <w:proofErr w:type="spellEnd"/>
      <w:r w:rsidRPr="00235939">
        <w:rPr>
          <w:rFonts w:asciiTheme="majorBidi" w:hAnsiTheme="majorBidi" w:cstheme="majorBidi"/>
          <w:sz w:val="24"/>
          <w:szCs w:val="24"/>
          <w:lang w:val="en-US"/>
        </w:rPr>
        <w:t xml:space="preserve"> et al. (14), who found non-invasive ventilation reduced apnea episodes when combined with prophylactic caffeine.</w:t>
      </w:r>
    </w:p>
    <w:p w14:paraId="77F17A8A" w14:textId="77777777" w:rsidR="00235939" w:rsidRPr="00235939" w:rsidRDefault="00235939" w:rsidP="00235939">
      <w:pPr>
        <w:widowControl w:val="0"/>
        <w:autoSpaceDE w:val="0"/>
        <w:autoSpaceDN w:val="0"/>
        <w:adjustRightInd w:val="0"/>
        <w:spacing w:after="0" w:line="480" w:lineRule="auto"/>
        <w:jc w:val="both"/>
        <w:rPr>
          <w:rFonts w:asciiTheme="majorBidi" w:hAnsiTheme="majorBidi" w:cstheme="majorBidi"/>
          <w:sz w:val="24"/>
          <w:szCs w:val="24"/>
          <w:lang w:val="en-US"/>
        </w:rPr>
      </w:pPr>
      <w:r w:rsidRPr="00235939">
        <w:rPr>
          <w:rFonts w:asciiTheme="majorBidi" w:hAnsiTheme="majorBidi" w:cstheme="majorBidi"/>
          <w:sz w:val="24"/>
          <w:szCs w:val="24"/>
          <w:lang w:val="en-US"/>
        </w:rPr>
        <w:t xml:space="preserve">Although pneumonia (4% vs 12%) and BPD rates (10% vs 20%) were numerically lower with HFNC, differences were not statistically significant. Pan et al. (15) similarly reported no significant differences in BPD rates between non-invasive ventilation modalities. The similar rates of IVH (6% vs 8%) and ROP (8% vs 14%) are consistent with </w:t>
      </w:r>
      <w:proofErr w:type="spellStart"/>
      <w:r w:rsidRPr="00235939">
        <w:rPr>
          <w:rFonts w:asciiTheme="majorBidi" w:hAnsiTheme="majorBidi" w:cstheme="majorBidi"/>
          <w:sz w:val="24"/>
          <w:szCs w:val="24"/>
          <w:lang w:val="en-US"/>
        </w:rPr>
        <w:t>Sorokina</w:t>
      </w:r>
      <w:proofErr w:type="spellEnd"/>
      <w:r w:rsidRPr="00235939">
        <w:rPr>
          <w:rFonts w:asciiTheme="majorBidi" w:hAnsiTheme="majorBidi" w:cstheme="majorBidi"/>
          <w:sz w:val="24"/>
          <w:szCs w:val="24"/>
          <w:lang w:val="en-US"/>
        </w:rPr>
        <w:t xml:space="preserve"> &amp; </w:t>
      </w:r>
      <w:proofErr w:type="spellStart"/>
      <w:r w:rsidRPr="00235939">
        <w:rPr>
          <w:rFonts w:asciiTheme="majorBidi" w:hAnsiTheme="majorBidi" w:cstheme="majorBidi"/>
          <w:sz w:val="24"/>
          <w:szCs w:val="24"/>
          <w:lang w:val="en-US"/>
        </w:rPr>
        <w:t>Bolonska</w:t>
      </w:r>
      <w:proofErr w:type="spellEnd"/>
      <w:r w:rsidRPr="00235939">
        <w:rPr>
          <w:rFonts w:asciiTheme="majorBidi" w:hAnsiTheme="majorBidi" w:cstheme="majorBidi"/>
          <w:sz w:val="24"/>
          <w:szCs w:val="24"/>
          <w:lang w:val="en-US"/>
        </w:rPr>
        <w:t xml:space="preserve"> (16), who indicated that prolonged respiratory support duration increases these risks.</w:t>
      </w:r>
    </w:p>
    <w:p w14:paraId="05F70057" w14:textId="77777777" w:rsidR="00235939" w:rsidRPr="00235939" w:rsidRDefault="00235939" w:rsidP="00235939">
      <w:pPr>
        <w:widowControl w:val="0"/>
        <w:autoSpaceDE w:val="0"/>
        <w:autoSpaceDN w:val="0"/>
        <w:adjustRightInd w:val="0"/>
        <w:spacing w:after="0" w:line="480" w:lineRule="auto"/>
        <w:jc w:val="both"/>
        <w:rPr>
          <w:rFonts w:asciiTheme="majorBidi" w:hAnsiTheme="majorBidi" w:cstheme="majorBidi"/>
          <w:sz w:val="24"/>
          <w:szCs w:val="24"/>
          <w:lang w:val="en-US"/>
        </w:rPr>
      </w:pPr>
      <w:r w:rsidRPr="00235939">
        <w:rPr>
          <w:rFonts w:asciiTheme="majorBidi" w:hAnsiTheme="majorBidi" w:cstheme="majorBidi"/>
          <w:sz w:val="24"/>
          <w:szCs w:val="24"/>
          <w:lang w:val="en-US"/>
        </w:rPr>
        <w:t>Lower rates of NEC (2% vs 10%) and neonatal sepsis (4% vs 14%), while not statistically significant, may relate to earlier feeding establishment. Shen et al. (17) reported that early enteral feeding and appropriate antibiotic use were associated with reduced NEC risk.</w:t>
      </w:r>
    </w:p>
    <w:p w14:paraId="6FD4B4FD" w14:textId="0D319B3C" w:rsidR="00235939" w:rsidRPr="00235939" w:rsidRDefault="001F7184" w:rsidP="00235939">
      <w:pPr>
        <w:widowControl w:val="0"/>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In </w:t>
      </w:r>
      <w:r w:rsidR="00E82465" w:rsidRPr="003F471B">
        <w:rPr>
          <w:rFonts w:asciiTheme="majorBidi" w:hAnsiTheme="majorBidi" w:cstheme="majorBidi"/>
          <w:sz w:val="24"/>
          <w:szCs w:val="24"/>
          <w:lang w:val="en-US"/>
        </w:rPr>
        <w:t xml:space="preserve">the current </w:t>
      </w:r>
      <w:r w:rsidR="00377F10" w:rsidRPr="003F471B">
        <w:rPr>
          <w:rFonts w:asciiTheme="majorBidi" w:hAnsiTheme="majorBidi" w:cstheme="majorBidi"/>
          <w:sz w:val="24"/>
          <w:szCs w:val="24"/>
          <w:lang w:val="en-US"/>
        </w:rPr>
        <w:t>study</w:t>
      </w:r>
      <w:r w:rsidR="00E82465">
        <w:rPr>
          <w:rFonts w:asciiTheme="majorBidi" w:hAnsiTheme="majorBidi" w:cstheme="majorBidi"/>
          <w:sz w:val="24"/>
          <w:szCs w:val="24"/>
          <w:lang w:val="en-US"/>
        </w:rPr>
        <w:t xml:space="preserve"> </w:t>
      </w:r>
      <w:r>
        <w:rPr>
          <w:rFonts w:asciiTheme="majorBidi" w:hAnsiTheme="majorBidi" w:cstheme="majorBidi"/>
          <w:sz w:val="24"/>
          <w:szCs w:val="24"/>
          <w:lang w:val="en-US"/>
        </w:rPr>
        <w:t>, t</w:t>
      </w:r>
      <w:r w:rsidR="00235939" w:rsidRPr="00235939">
        <w:rPr>
          <w:rFonts w:asciiTheme="majorBidi" w:hAnsiTheme="majorBidi" w:cstheme="majorBidi"/>
          <w:sz w:val="24"/>
          <w:szCs w:val="24"/>
          <w:lang w:val="en-US"/>
        </w:rPr>
        <w:t xml:space="preserve">he comparable blood glucose levels, electrolyte balance, and kidney function between groups indicate both modalities maintain physiological homeostasis effectively. Our findings align with Sayed et al. (18) regarding glucose levels and </w:t>
      </w:r>
      <w:proofErr w:type="spellStart"/>
      <w:r w:rsidR="00235939" w:rsidRPr="00235939">
        <w:rPr>
          <w:rFonts w:asciiTheme="majorBidi" w:hAnsiTheme="majorBidi" w:cstheme="majorBidi"/>
          <w:sz w:val="24"/>
          <w:szCs w:val="24"/>
          <w:lang w:val="en-US"/>
        </w:rPr>
        <w:t>Stritzke</w:t>
      </w:r>
      <w:proofErr w:type="spellEnd"/>
      <w:r w:rsidR="00235939" w:rsidRPr="00235939">
        <w:rPr>
          <w:rFonts w:asciiTheme="majorBidi" w:hAnsiTheme="majorBidi" w:cstheme="majorBidi"/>
          <w:sz w:val="24"/>
          <w:szCs w:val="24"/>
          <w:lang w:val="en-US"/>
        </w:rPr>
        <w:t xml:space="preserve"> et al. (19) regarding electrolyte balance. Similar CRP levels and CBC parameters, as reported by </w:t>
      </w:r>
      <w:proofErr w:type="spellStart"/>
      <w:r w:rsidR="00235939" w:rsidRPr="00235939">
        <w:rPr>
          <w:rFonts w:asciiTheme="majorBidi" w:hAnsiTheme="majorBidi" w:cstheme="majorBidi"/>
          <w:sz w:val="24"/>
          <w:szCs w:val="24"/>
          <w:lang w:val="en-US"/>
        </w:rPr>
        <w:t>Kadi</w:t>
      </w:r>
      <w:proofErr w:type="spellEnd"/>
      <w:r w:rsidR="00235939" w:rsidRPr="00235939">
        <w:rPr>
          <w:rFonts w:asciiTheme="majorBidi" w:hAnsiTheme="majorBidi" w:cstheme="majorBidi"/>
          <w:sz w:val="24"/>
          <w:szCs w:val="24"/>
          <w:lang w:val="en-US"/>
        </w:rPr>
        <w:t xml:space="preserve"> et al. (20), suggest minimal differential impact on inflammatory responses. The comparable ABG parameters indicate both modalities provide adequate ventilation, supported by Uchiyama et al. (21).</w:t>
      </w:r>
    </w:p>
    <w:p w14:paraId="4E302E44" w14:textId="77777777" w:rsidR="00235939" w:rsidRPr="00235939" w:rsidRDefault="00235939" w:rsidP="00235939">
      <w:pPr>
        <w:widowControl w:val="0"/>
        <w:autoSpaceDE w:val="0"/>
        <w:autoSpaceDN w:val="0"/>
        <w:adjustRightInd w:val="0"/>
        <w:spacing w:after="0" w:line="480" w:lineRule="auto"/>
        <w:jc w:val="both"/>
        <w:rPr>
          <w:rFonts w:asciiTheme="majorBidi" w:hAnsiTheme="majorBidi" w:cstheme="majorBidi"/>
          <w:sz w:val="24"/>
          <w:szCs w:val="24"/>
          <w:lang w:val="en-US"/>
        </w:rPr>
      </w:pPr>
      <w:r w:rsidRPr="00235939">
        <w:rPr>
          <w:rFonts w:asciiTheme="majorBidi" w:hAnsiTheme="majorBidi" w:cstheme="majorBidi"/>
          <w:sz w:val="24"/>
          <w:szCs w:val="24"/>
          <w:lang w:val="en-US"/>
        </w:rPr>
        <w:t>The comparable RDS severity distribution indicates similar efficacy across disease severities. Singh et al. (9) and Wang et al. (22) similarly reported no significant differences in radiological findings between modalities. The numerically lower mortality in our HFNC group (12% vs 18%) is consistent with Li et al. (23), Mukerji et al. (24), and Zhu et al. (10), who reported comparable mortality rates between modalities.</w:t>
      </w:r>
    </w:p>
    <w:p w14:paraId="296BD72C" w14:textId="69C71A1B" w:rsidR="00235939" w:rsidRPr="00235939" w:rsidRDefault="00377F10" w:rsidP="00235939">
      <w:pPr>
        <w:widowControl w:val="0"/>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w:t>
      </w:r>
      <w:r w:rsidR="009C097F">
        <w:rPr>
          <w:rFonts w:asciiTheme="majorBidi" w:hAnsiTheme="majorBidi" w:cstheme="majorBidi"/>
          <w:sz w:val="24"/>
          <w:szCs w:val="24"/>
          <w:lang w:val="en-US"/>
        </w:rPr>
        <w:t xml:space="preserve">current </w:t>
      </w:r>
      <w:r w:rsidR="00235939" w:rsidRPr="00235939">
        <w:rPr>
          <w:rFonts w:asciiTheme="majorBidi" w:hAnsiTheme="majorBidi" w:cstheme="majorBidi"/>
          <w:sz w:val="24"/>
          <w:szCs w:val="24"/>
          <w:lang w:val="en-US"/>
        </w:rPr>
        <w:t xml:space="preserve">well-balanced demographics support study validity. The mean gestational age of 32.4 </w:t>
      </w:r>
      <w:r w:rsidR="00235939" w:rsidRPr="00235939">
        <w:rPr>
          <w:rFonts w:asciiTheme="majorBidi" w:hAnsiTheme="majorBidi" w:cstheme="majorBidi"/>
          <w:sz w:val="24"/>
          <w:szCs w:val="24"/>
          <w:lang w:val="en-US"/>
        </w:rPr>
        <w:lastRenderedPageBreak/>
        <w:t xml:space="preserve">weeks aligns with Qian et al. (25), who noted that infants &lt;32 weeks often require intensive respiratory support. Higher emergency cesarean rates reflect acute delivery complications, as noted by Lin et al. (26). Maternal characteristics were comparable, consistent with Shin et al. (27) and </w:t>
      </w:r>
      <w:proofErr w:type="spellStart"/>
      <w:r w:rsidR="00235939" w:rsidRPr="00235939">
        <w:rPr>
          <w:rFonts w:asciiTheme="majorBidi" w:hAnsiTheme="majorBidi" w:cstheme="majorBidi"/>
          <w:sz w:val="24"/>
          <w:szCs w:val="24"/>
          <w:lang w:val="en-US"/>
        </w:rPr>
        <w:t>Murki</w:t>
      </w:r>
      <w:proofErr w:type="spellEnd"/>
      <w:r w:rsidR="00235939" w:rsidRPr="00235939">
        <w:rPr>
          <w:rFonts w:asciiTheme="majorBidi" w:hAnsiTheme="majorBidi" w:cstheme="majorBidi"/>
          <w:sz w:val="24"/>
          <w:szCs w:val="24"/>
          <w:lang w:val="en-US"/>
        </w:rPr>
        <w:t xml:space="preserve"> et al. (28). The distribution of maternal risk factors aligned with </w:t>
      </w:r>
      <w:proofErr w:type="spellStart"/>
      <w:r w:rsidR="00235939" w:rsidRPr="00235939">
        <w:rPr>
          <w:rFonts w:asciiTheme="majorBidi" w:hAnsiTheme="majorBidi" w:cstheme="majorBidi"/>
          <w:sz w:val="24"/>
          <w:szCs w:val="24"/>
          <w:lang w:val="en-US"/>
        </w:rPr>
        <w:t>Bruet</w:t>
      </w:r>
      <w:proofErr w:type="spellEnd"/>
      <w:r w:rsidR="00235939" w:rsidRPr="00235939">
        <w:rPr>
          <w:rFonts w:asciiTheme="majorBidi" w:hAnsiTheme="majorBidi" w:cstheme="majorBidi"/>
          <w:sz w:val="24"/>
          <w:szCs w:val="24"/>
          <w:lang w:val="en-US"/>
        </w:rPr>
        <w:t xml:space="preserve"> et al. (29) and </w:t>
      </w:r>
      <w:proofErr w:type="spellStart"/>
      <w:r w:rsidR="00235939" w:rsidRPr="00235939">
        <w:rPr>
          <w:rFonts w:asciiTheme="majorBidi" w:hAnsiTheme="majorBidi" w:cstheme="majorBidi"/>
          <w:sz w:val="24"/>
          <w:szCs w:val="24"/>
          <w:lang w:val="en-US"/>
        </w:rPr>
        <w:t>Armanian</w:t>
      </w:r>
      <w:proofErr w:type="spellEnd"/>
      <w:r w:rsidR="00235939" w:rsidRPr="00235939">
        <w:rPr>
          <w:rFonts w:asciiTheme="majorBidi" w:hAnsiTheme="majorBidi" w:cstheme="majorBidi"/>
          <w:sz w:val="24"/>
          <w:szCs w:val="24"/>
          <w:lang w:val="en-US"/>
        </w:rPr>
        <w:t xml:space="preserve"> et al. (30).</w:t>
      </w:r>
    </w:p>
    <w:p w14:paraId="292A7F1D" w14:textId="77777777" w:rsidR="00D8096A" w:rsidRPr="00280DEB" w:rsidRDefault="00D8096A" w:rsidP="002E2A1E">
      <w:pPr>
        <w:widowControl w:val="0"/>
        <w:autoSpaceDE w:val="0"/>
        <w:autoSpaceDN w:val="0"/>
        <w:adjustRightInd w:val="0"/>
        <w:spacing w:after="0" w:line="480" w:lineRule="auto"/>
        <w:rPr>
          <w:rFonts w:asciiTheme="majorBidi" w:hAnsiTheme="majorBidi" w:cstheme="majorBidi"/>
          <w:b/>
          <w:bCs/>
          <w:caps/>
          <w:sz w:val="24"/>
          <w:szCs w:val="24"/>
        </w:rPr>
      </w:pPr>
      <w:r w:rsidRPr="00280DEB">
        <w:rPr>
          <w:rFonts w:asciiTheme="majorBidi" w:hAnsiTheme="majorBidi" w:cstheme="majorBidi"/>
          <w:b/>
          <w:bCs/>
          <w:sz w:val="24"/>
          <w:szCs w:val="24"/>
        </w:rPr>
        <w:t>Conclusions</w:t>
      </w:r>
    </w:p>
    <w:p w14:paraId="5E5B43FD" w14:textId="77777777" w:rsidR="00D8096A" w:rsidRPr="00280DEB" w:rsidRDefault="00D8096A" w:rsidP="003E0685">
      <w:pPr>
        <w:widowControl w:val="0"/>
        <w:autoSpaceDE w:val="0"/>
        <w:autoSpaceDN w:val="0"/>
        <w:adjustRightInd w:val="0"/>
        <w:spacing w:after="0" w:line="480" w:lineRule="auto"/>
        <w:jc w:val="both"/>
        <w:rPr>
          <w:rFonts w:asciiTheme="majorBidi" w:hAnsiTheme="majorBidi" w:cstheme="majorBidi"/>
          <w:bCs/>
          <w:sz w:val="24"/>
          <w:szCs w:val="24"/>
          <w:lang w:val="en-US"/>
        </w:rPr>
      </w:pPr>
      <w:r w:rsidRPr="00280DEB">
        <w:rPr>
          <w:rFonts w:asciiTheme="majorBidi" w:hAnsiTheme="majorBidi" w:cstheme="majorBidi"/>
          <w:bCs/>
          <w:sz w:val="24"/>
          <w:szCs w:val="24"/>
          <w:lang w:val="en-US"/>
        </w:rPr>
        <w:t xml:space="preserve">In conclusion, </w:t>
      </w:r>
      <w:r w:rsidRPr="004A7A45">
        <w:rPr>
          <w:rFonts w:asciiTheme="majorBidi" w:hAnsiTheme="majorBidi" w:cstheme="majorBidi"/>
          <w:bCs/>
          <w:sz w:val="24"/>
          <w:szCs w:val="24"/>
          <w:lang w:val="en-US"/>
        </w:rPr>
        <w:t>HFNC and nCPAP are effective non-invasive respiratory support modalities for preterm infants with RDS. HFNC was associated with shorter durations of respiratory support, oxygen supplementation, and hospitalization, as well as better feeding outcomes. These findings suggest that HFNC can be a suitable alternative to nCPAP for respiratory support in preterm infants with RDS.</w:t>
      </w:r>
    </w:p>
    <w:p w14:paraId="6E4C338C" w14:textId="77777777" w:rsidR="00D8096A" w:rsidRPr="00280DEB" w:rsidRDefault="00D8096A" w:rsidP="002E2A1E">
      <w:pPr>
        <w:spacing w:line="480" w:lineRule="auto"/>
        <w:rPr>
          <w:rFonts w:asciiTheme="majorBidi" w:eastAsia="Calibri" w:hAnsiTheme="majorBidi" w:cstheme="majorBidi"/>
          <w:b/>
          <w:bCs/>
          <w:sz w:val="24"/>
          <w:szCs w:val="24"/>
          <w:lang w:val="en-US"/>
        </w:rPr>
      </w:pPr>
      <w:r w:rsidRPr="00280DEB">
        <w:rPr>
          <w:rFonts w:asciiTheme="majorBidi" w:eastAsia="Calibri" w:hAnsiTheme="majorBidi" w:cstheme="majorBidi"/>
          <w:b/>
          <w:bCs/>
          <w:sz w:val="24"/>
          <w:szCs w:val="24"/>
          <w:lang w:val="en-US"/>
        </w:rPr>
        <w:t>Availability of Data and Materials:</w:t>
      </w:r>
    </w:p>
    <w:p w14:paraId="7C627E9D" w14:textId="77777777" w:rsidR="00D8096A" w:rsidRPr="006C7524" w:rsidRDefault="00D8096A" w:rsidP="006C7524">
      <w:pPr>
        <w:spacing w:line="480" w:lineRule="auto"/>
        <w:rPr>
          <w:rFonts w:asciiTheme="majorBidi" w:eastAsia="Calibri" w:hAnsiTheme="majorBidi" w:cstheme="majorBidi"/>
          <w:sz w:val="24"/>
          <w:szCs w:val="24"/>
          <w:lang w:val="en-US"/>
        </w:rPr>
      </w:pPr>
      <w:r w:rsidRPr="006C7524">
        <w:rPr>
          <w:rFonts w:asciiTheme="majorBidi" w:eastAsia="Calibri" w:hAnsiTheme="majorBidi" w:cstheme="majorBidi"/>
          <w:sz w:val="24"/>
          <w:szCs w:val="24"/>
          <w:lang w:val="en-US"/>
        </w:rPr>
        <w:t>Contact the associated author for this work's data collection.</w:t>
      </w:r>
    </w:p>
    <w:p w14:paraId="69A03782" w14:textId="77777777" w:rsidR="00D8096A" w:rsidRPr="00280DEB" w:rsidRDefault="00D8096A" w:rsidP="00547D54">
      <w:pPr>
        <w:spacing w:line="480" w:lineRule="auto"/>
        <w:rPr>
          <w:rFonts w:asciiTheme="majorBidi" w:eastAsia="Calibri" w:hAnsiTheme="majorBidi" w:cstheme="majorBidi"/>
          <w:sz w:val="24"/>
          <w:szCs w:val="24"/>
          <w:lang w:val="en-US"/>
        </w:rPr>
      </w:pPr>
      <w:r w:rsidRPr="00280DEB">
        <w:rPr>
          <w:rFonts w:asciiTheme="majorBidi" w:eastAsia="Calibri" w:hAnsiTheme="majorBidi" w:cstheme="majorBidi"/>
          <w:b/>
          <w:bCs/>
          <w:sz w:val="24"/>
          <w:szCs w:val="24"/>
          <w:lang w:val="en-US"/>
        </w:rPr>
        <w:t>Declaration of Conflicting Interests:</w:t>
      </w:r>
      <w:r w:rsidRPr="00280DEB">
        <w:rPr>
          <w:rFonts w:asciiTheme="majorBidi" w:eastAsia="Calibri" w:hAnsiTheme="majorBidi" w:cstheme="majorBidi"/>
          <w:sz w:val="24"/>
          <w:szCs w:val="24"/>
          <w:lang w:val="en-US"/>
        </w:rPr>
        <w:t xml:space="preserve"> No conflicts of interest have been revealed about this article's research, authorship, or publishing.</w:t>
      </w:r>
    </w:p>
    <w:p w14:paraId="427E5469" w14:textId="77777777" w:rsidR="00D8096A" w:rsidRPr="00280DEB" w:rsidRDefault="00D8096A" w:rsidP="00B9778E">
      <w:pPr>
        <w:spacing w:line="480" w:lineRule="auto"/>
        <w:rPr>
          <w:rFonts w:asciiTheme="majorBidi" w:eastAsia="Calibri" w:hAnsiTheme="majorBidi" w:cstheme="majorBidi"/>
          <w:sz w:val="24"/>
          <w:szCs w:val="24"/>
          <w:lang w:val="en-US"/>
        </w:rPr>
      </w:pPr>
      <w:r w:rsidRPr="00280DEB">
        <w:rPr>
          <w:rFonts w:asciiTheme="majorBidi" w:eastAsia="Calibri" w:hAnsiTheme="majorBidi" w:cstheme="majorBidi"/>
          <w:b/>
          <w:bCs/>
          <w:sz w:val="24"/>
          <w:szCs w:val="24"/>
          <w:lang w:val="en-US"/>
        </w:rPr>
        <w:t>Funding:</w:t>
      </w:r>
      <w:r w:rsidRPr="00280DEB">
        <w:rPr>
          <w:rFonts w:asciiTheme="majorBidi" w:eastAsia="Calibri" w:hAnsiTheme="majorBidi" w:cstheme="majorBidi"/>
          <w:sz w:val="24"/>
          <w:szCs w:val="24"/>
          <w:lang w:val="en-US"/>
        </w:rPr>
        <w:t xml:space="preserve"> </w:t>
      </w:r>
      <w:r w:rsidRPr="00B9778E">
        <w:rPr>
          <w:rFonts w:asciiTheme="majorBidi" w:eastAsia="Calibri" w:hAnsiTheme="majorBidi" w:cstheme="majorBidi"/>
          <w:sz w:val="24"/>
          <w:szCs w:val="24"/>
        </w:rPr>
        <w:t>The authors received no financial support for the research, authorship, or publication of this article.</w:t>
      </w:r>
    </w:p>
    <w:p w14:paraId="0379265A" w14:textId="77777777" w:rsidR="00D8096A" w:rsidRPr="00280DEB" w:rsidRDefault="00D8096A" w:rsidP="002E2A1E">
      <w:pPr>
        <w:spacing w:line="480" w:lineRule="auto"/>
        <w:rPr>
          <w:rFonts w:asciiTheme="majorBidi" w:eastAsia="Calibri" w:hAnsiTheme="majorBidi" w:cstheme="majorBidi"/>
          <w:sz w:val="24"/>
          <w:szCs w:val="24"/>
          <w:lang w:val="en-US"/>
        </w:rPr>
      </w:pPr>
    </w:p>
    <w:p w14:paraId="59C0F4E1" w14:textId="77777777" w:rsidR="00D8096A" w:rsidRPr="00280DEB" w:rsidRDefault="00D8096A" w:rsidP="002E2A1E">
      <w:pPr>
        <w:spacing w:line="480" w:lineRule="auto"/>
        <w:rPr>
          <w:rFonts w:asciiTheme="majorBidi" w:eastAsia="Calibri" w:hAnsiTheme="majorBidi" w:cstheme="majorBidi"/>
          <w:sz w:val="24"/>
          <w:szCs w:val="24"/>
          <w:lang w:val="en-US"/>
        </w:rPr>
      </w:pPr>
    </w:p>
    <w:p w14:paraId="5A7F3FB1" w14:textId="77777777" w:rsidR="00D8096A" w:rsidRPr="00280DEB" w:rsidRDefault="00D8096A" w:rsidP="002E2A1E">
      <w:pPr>
        <w:spacing w:line="480" w:lineRule="auto"/>
        <w:rPr>
          <w:rFonts w:asciiTheme="majorBidi" w:eastAsia="Calibri" w:hAnsiTheme="majorBidi" w:cstheme="majorBidi"/>
          <w:sz w:val="24"/>
          <w:szCs w:val="24"/>
          <w:lang w:val="en-US"/>
        </w:rPr>
        <w:sectPr w:rsidR="00D8096A" w:rsidRPr="00280DEB" w:rsidSect="005A3764">
          <w:pgSz w:w="12240" w:h="15840"/>
          <w:pgMar w:top="1440" w:right="1302" w:bottom="1440" w:left="1440" w:header="709" w:footer="709" w:gutter="0"/>
          <w:pgNumType w:start="3"/>
          <w:cols w:space="708"/>
          <w:docGrid w:linePitch="360"/>
        </w:sectPr>
      </w:pPr>
    </w:p>
    <w:p w14:paraId="5EBB4EFA" w14:textId="77777777" w:rsidR="00D8096A" w:rsidRPr="00280DEB" w:rsidRDefault="00D8096A" w:rsidP="00505CC9">
      <w:pPr>
        <w:widowControl w:val="0"/>
        <w:autoSpaceDE w:val="0"/>
        <w:autoSpaceDN w:val="0"/>
        <w:adjustRightInd w:val="0"/>
        <w:spacing w:after="0" w:line="480" w:lineRule="auto"/>
        <w:jc w:val="both"/>
        <w:rPr>
          <w:rFonts w:asciiTheme="majorBidi" w:eastAsia="Calibri" w:hAnsiTheme="majorBidi" w:cstheme="majorBidi"/>
          <w:bCs/>
          <w:sz w:val="24"/>
          <w:szCs w:val="24"/>
        </w:rPr>
      </w:pPr>
      <w:r w:rsidRPr="00280DEB">
        <w:rPr>
          <w:rFonts w:asciiTheme="majorBidi" w:eastAsia="Calibri" w:hAnsiTheme="majorBidi" w:cstheme="majorBidi"/>
          <w:b/>
          <w:sz w:val="24"/>
          <w:szCs w:val="24"/>
          <w:lang w:val="en-US"/>
        </w:rPr>
        <w:lastRenderedPageBreak/>
        <w:t>References</w:t>
      </w:r>
    </w:p>
    <w:p w14:paraId="52D1B951" w14:textId="77777777" w:rsidR="00235939" w:rsidRDefault="00235939" w:rsidP="00235939"/>
    <w:p w14:paraId="52BF32DD" w14:textId="77777777" w:rsidR="00235939" w:rsidRDefault="00235939" w:rsidP="00235939"/>
    <w:p w14:paraId="40C79303" w14:textId="435FA4F1" w:rsidR="004A648B" w:rsidRDefault="00235939" w:rsidP="004A648B">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t xml:space="preserve">De Luca D, </w:t>
      </w:r>
      <w:proofErr w:type="spellStart"/>
      <w:r w:rsidRPr="00235939">
        <w:rPr>
          <w:rFonts w:asciiTheme="majorBidi" w:hAnsiTheme="majorBidi" w:cstheme="majorBidi"/>
          <w:sz w:val="24"/>
          <w:szCs w:val="24"/>
        </w:rPr>
        <w:t>Autilio</w:t>
      </w:r>
      <w:proofErr w:type="spellEnd"/>
      <w:r w:rsidRPr="00235939">
        <w:rPr>
          <w:rFonts w:asciiTheme="majorBidi" w:hAnsiTheme="majorBidi" w:cstheme="majorBidi"/>
          <w:sz w:val="24"/>
          <w:szCs w:val="24"/>
        </w:rPr>
        <w:t xml:space="preserve"> C, </w:t>
      </w:r>
      <w:proofErr w:type="spellStart"/>
      <w:r w:rsidRPr="00235939">
        <w:rPr>
          <w:rFonts w:asciiTheme="majorBidi" w:hAnsiTheme="majorBidi" w:cstheme="majorBidi"/>
          <w:sz w:val="24"/>
          <w:szCs w:val="24"/>
        </w:rPr>
        <w:t>Pezza</w:t>
      </w:r>
      <w:proofErr w:type="spellEnd"/>
      <w:r w:rsidRPr="00235939">
        <w:rPr>
          <w:rFonts w:asciiTheme="majorBidi" w:hAnsiTheme="majorBidi" w:cstheme="majorBidi"/>
          <w:sz w:val="24"/>
          <w:szCs w:val="24"/>
        </w:rPr>
        <w:t xml:space="preserve"> L, Shankar-Aguilera S, </w:t>
      </w:r>
      <w:proofErr w:type="spellStart"/>
      <w:r w:rsidRPr="00235939">
        <w:rPr>
          <w:rFonts w:asciiTheme="majorBidi" w:hAnsiTheme="majorBidi" w:cstheme="majorBidi"/>
          <w:sz w:val="24"/>
          <w:szCs w:val="24"/>
        </w:rPr>
        <w:t>Tingay</w:t>
      </w:r>
      <w:proofErr w:type="spellEnd"/>
      <w:r w:rsidRPr="00235939">
        <w:rPr>
          <w:rFonts w:asciiTheme="majorBidi" w:hAnsiTheme="majorBidi" w:cstheme="majorBidi"/>
          <w:sz w:val="24"/>
          <w:szCs w:val="24"/>
        </w:rPr>
        <w:t xml:space="preserve"> DG, </w:t>
      </w:r>
      <w:proofErr w:type="spellStart"/>
      <w:r w:rsidRPr="00235939">
        <w:rPr>
          <w:rFonts w:asciiTheme="majorBidi" w:hAnsiTheme="majorBidi" w:cstheme="majorBidi"/>
          <w:sz w:val="24"/>
          <w:szCs w:val="24"/>
        </w:rPr>
        <w:t>Carnielli</w:t>
      </w:r>
      <w:proofErr w:type="spellEnd"/>
      <w:r w:rsidRPr="00235939">
        <w:rPr>
          <w:rFonts w:asciiTheme="majorBidi" w:hAnsiTheme="majorBidi" w:cstheme="majorBidi"/>
          <w:sz w:val="24"/>
          <w:szCs w:val="24"/>
        </w:rPr>
        <w:t xml:space="preserve"> VP. Personalized medicine for the management of RDS in preterm neonates. Neonatology. 2021;118(2):127-38.</w:t>
      </w:r>
    </w:p>
    <w:p w14:paraId="47479CFF" w14:textId="77777777" w:rsidR="004A648B" w:rsidRDefault="004A648B" w:rsidP="004A648B">
      <w:pPr>
        <w:pStyle w:val="ListParagraph"/>
        <w:spacing w:line="480" w:lineRule="auto"/>
        <w:ind w:left="360"/>
        <w:jc w:val="both"/>
        <w:rPr>
          <w:rFonts w:asciiTheme="majorBidi" w:hAnsiTheme="majorBidi" w:cstheme="majorBidi"/>
          <w:sz w:val="24"/>
          <w:szCs w:val="24"/>
        </w:rPr>
      </w:pPr>
    </w:p>
    <w:p w14:paraId="20F85EB7" w14:textId="51518E29" w:rsidR="004A648B" w:rsidRPr="003F471B" w:rsidRDefault="004A648B" w:rsidP="004A648B">
      <w:pPr>
        <w:pStyle w:val="ListParagraph"/>
        <w:numPr>
          <w:ilvl w:val="0"/>
          <w:numId w:val="35"/>
        </w:numPr>
        <w:spacing w:line="480" w:lineRule="auto"/>
        <w:ind w:left="360"/>
        <w:jc w:val="both"/>
        <w:rPr>
          <w:rFonts w:asciiTheme="majorBidi" w:hAnsiTheme="majorBidi" w:cstheme="majorBidi"/>
          <w:sz w:val="24"/>
          <w:szCs w:val="24"/>
        </w:rPr>
      </w:pPr>
      <w:proofErr w:type="spellStart"/>
      <w:r w:rsidRPr="003F471B">
        <w:rPr>
          <w:rFonts w:asciiTheme="majorBidi" w:hAnsiTheme="majorBidi" w:cstheme="majorBidi"/>
          <w:sz w:val="24"/>
          <w:szCs w:val="24"/>
        </w:rPr>
        <w:t>Jat</w:t>
      </w:r>
      <w:proofErr w:type="spellEnd"/>
      <w:r w:rsidRPr="003F471B">
        <w:rPr>
          <w:rFonts w:asciiTheme="majorBidi" w:hAnsiTheme="majorBidi" w:cstheme="majorBidi"/>
          <w:sz w:val="24"/>
          <w:szCs w:val="24"/>
        </w:rPr>
        <w:t xml:space="preserve"> KR, Mathew JL. Continuous positive airway pressure (CPAP) for acute bronchiolitis in children. Cochrane database of systematic reviews. 2015(1).</w:t>
      </w:r>
    </w:p>
    <w:p w14:paraId="1B2C6F2B" w14:textId="77777777" w:rsidR="00235939" w:rsidRPr="00235939" w:rsidRDefault="00235939" w:rsidP="00235939">
      <w:pPr>
        <w:spacing w:line="480" w:lineRule="auto"/>
        <w:jc w:val="both"/>
        <w:rPr>
          <w:rFonts w:asciiTheme="majorBidi" w:hAnsiTheme="majorBidi" w:cstheme="majorBidi"/>
          <w:sz w:val="24"/>
          <w:szCs w:val="24"/>
        </w:rPr>
      </w:pPr>
    </w:p>
    <w:p w14:paraId="12B18536"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proofErr w:type="spellStart"/>
      <w:r w:rsidRPr="00235939">
        <w:rPr>
          <w:rFonts w:asciiTheme="majorBidi" w:hAnsiTheme="majorBidi" w:cstheme="majorBidi"/>
          <w:sz w:val="24"/>
          <w:szCs w:val="24"/>
        </w:rPr>
        <w:t>Nolasco</w:t>
      </w:r>
      <w:proofErr w:type="spellEnd"/>
      <w:r w:rsidRPr="00235939">
        <w:rPr>
          <w:rFonts w:asciiTheme="majorBidi" w:hAnsiTheme="majorBidi" w:cstheme="majorBidi"/>
          <w:sz w:val="24"/>
          <w:szCs w:val="24"/>
        </w:rPr>
        <w:t xml:space="preserve"> S, Manti S, </w:t>
      </w:r>
      <w:proofErr w:type="spellStart"/>
      <w:r w:rsidRPr="00235939">
        <w:rPr>
          <w:rFonts w:asciiTheme="majorBidi" w:hAnsiTheme="majorBidi" w:cstheme="majorBidi"/>
          <w:sz w:val="24"/>
          <w:szCs w:val="24"/>
        </w:rPr>
        <w:t>Leonardi</w:t>
      </w:r>
      <w:proofErr w:type="spellEnd"/>
      <w:r w:rsidRPr="00235939">
        <w:rPr>
          <w:rFonts w:asciiTheme="majorBidi" w:hAnsiTheme="majorBidi" w:cstheme="majorBidi"/>
          <w:sz w:val="24"/>
          <w:szCs w:val="24"/>
        </w:rPr>
        <w:t xml:space="preserve"> S, </w:t>
      </w:r>
      <w:proofErr w:type="spellStart"/>
      <w:r w:rsidRPr="00235939">
        <w:rPr>
          <w:rFonts w:asciiTheme="majorBidi" w:hAnsiTheme="majorBidi" w:cstheme="majorBidi"/>
          <w:sz w:val="24"/>
          <w:szCs w:val="24"/>
        </w:rPr>
        <w:t>Vancheri</w:t>
      </w:r>
      <w:proofErr w:type="spellEnd"/>
      <w:r w:rsidRPr="00235939">
        <w:rPr>
          <w:rFonts w:asciiTheme="majorBidi" w:hAnsiTheme="majorBidi" w:cstheme="majorBidi"/>
          <w:sz w:val="24"/>
          <w:szCs w:val="24"/>
        </w:rPr>
        <w:t xml:space="preserve"> C, </w:t>
      </w:r>
      <w:proofErr w:type="spellStart"/>
      <w:r w:rsidRPr="00235939">
        <w:rPr>
          <w:rFonts w:asciiTheme="majorBidi" w:hAnsiTheme="majorBidi" w:cstheme="majorBidi"/>
          <w:sz w:val="24"/>
          <w:szCs w:val="24"/>
        </w:rPr>
        <w:t>Spicuzza</w:t>
      </w:r>
      <w:proofErr w:type="spellEnd"/>
      <w:r w:rsidRPr="00235939">
        <w:rPr>
          <w:rFonts w:asciiTheme="majorBidi" w:hAnsiTheme="majorBidi" w:cstheme="majorBidi"/>
          <w:sz w:val="24"/>
          <w:szCs w:val="24"/>
        </w:rPr>
        <w:t xml:space="preserve"> L. High-flow nasal cannula oxygen therapy: physiological mechanisms and clinical applications in children. Frontiers in medicine. 2022;9:920549.</w:t>
      </w:r>
    </w:p>
    <w:p w14:paraId="3F50321F" w14:textId="77777777" w:rsidR="00235939" w:rsidRPr="00235939" w:rsidRDefault="00235939" w:rsidP="00235939">
      <w:pPr>
        <w:spacing w:line="480" w:lineRule="auto"/>
        <w:jc w:val="both"/>
        <w:rPr>
          <w:rFonts w:asciiTheme="majorBidi" w:hAnsiTheme="majorBidi" w:cstheme="majorBidi"/>
          <w:sz w:val="24"/>
          <w:szCs w:val="24"/>
        </w:rPr>
      </w:pPr>
    </w:p>
    <w:p w14:paraId="029FB05F"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t>Zhao X, Qin Q, Zhang X. Outcomes of high-flow nasal cannula vs. nasal continuous positive airway pressure in young children with respiratory distress: a systematic review and meta-analysis. Frontiers in Pediatrics. 2021;9:759297.</w:t>
      </w:r>
    </w:p>
    <w:p w14:paraId="433DEF93" w14:textId="77777777" w:rsidR="00235939" w:rsidRPr="00235939" w:rsidRDefault="00235939" w:rsidP="00235939">
      <w:pPr>
        <w:spacing w:line="480" w:lineRule="auto"/>
        <w:jc w:val="both"/>
        <w:rPr>
          <w:rFonts w:asciiTheme="majorBidi" w:hAnsiTheme="majorBidi" w:cstheme="majorBidi"/>
          <w:sz w:val="24"/>
          <w:szCs w:val="24"/>
        </w:rPr>
      </w:pPr>
    </w:p>
    <w:p w14:paraId="3A1CA3AF"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proofErr w:type="spellStart"/>
      <w:r w:rsidRPr="00235939">
        <w:rPr>
          <w:rFonts w:asciiTheme="majorBidi" w:hAnsiTheme="majorBidi" w:cstheme="majorBidi"/>
          <w:sz w:val="24"/>
          <w:szCs w:val="24"/>
        </w:rPr>
        <w:t>Cresi</w:t>
      </w:r>
      <w:proofErr w:type="spellEnd"/>
      <w:r w:rsidRPr="00235939">
        <w:rPr>
          <w:rFonts w:asciiTheme="majorBidi" w:hAnsiTheme="majorBidi" w:cstheme="majorBidi"/>
          <w:sz w:val="24"/>
          <w:szCs w:val="24"/>
        </w:rPr>
        <w:t xml:space="preserve"> F, </w:t>
      </w:r>
      <w:proofErr w:type="spellStart"/>
      <w:r w:rsidRPr="00235939">
        <w:rPr>
          <w:rFonts w:asciiTheme="majorBidi" w:hAnsiTheme="majorBidi" w:cstheme="majorBidi"/>
          <w:sz w:val="24"/>
          <w:szCs w:val="24"/>
        </w:rPr>
        <w:t>Maggiora</w:t>
      </w:r>
      <w:proofErr w:type="spellEnd"/>
      <w:r w:rsidRPr="00235939">
        <w:rPr>
          <w:rFonts w:asciiTheme="majorBidi" w:hAnsiTheme="majorBidi" w:cstheme="majorBidi"/>
          <w:sz w:val="24"/>
          <w:szCs w:val="24"/>
        </w:rPr>
        <w:t xml:space="preserve"> E, </w:t>
      </w:r>
      <w:proofErr w:type="spellStart"/>
      <w:r w:rsidRPr="00235939">
        <w:rPr>
          <w:rFonts w:asciiTheme="majorBidi" w:hAnsiTheme="majorBidi" w:cstheme="majorBidi"/>
          <w:sz w:val="24"/>
          <w:szCs w:val="24"/>
        </w:rPr>
        <w:t>Lista</w:t>
      </w:r>
      <w:proofErr w:type="spellEnd"/>
      <w:r w:rsidRPr="00235939">
        <w:rPr>
          <w:rFonts w:asciiTheme="majorBidi" w:hAnsiTheme="majorBidi" w:cstheme="majorBidi"/>
          <w:sz w:val="24"/>
          <w:szCs w:val="24"/>
        </w:rPr>
        <w:t xml:space="preserve"> G, </w:t>
      </w:r>
      <w:proofErr w:type="spellStart"/>
      <w:r w:rsidRPr="00235939">
        <w:rPr>
          <w:rFonts w:asciiTheme="majorBidi" w:hAnsiTheme="majorBidi" w:cstheme="majorBidi"/>
          <w:sz w:val="24"/>
          <w:szCs w:val="24"/>
        </w:rPr>
        <w:t>Dani</w:t>
      </w:r>
      <w:proofErr w:type="spellEnd"/>
      <w:r w:rsidRPr="00235939">
        <w:rPr>
          <w:rFonts w:asciiTheme="majorBidi" w:hAnsiTheme="majorBidi" w:cstheme="majorBidi"/>
          <w:sz w:val="24"/>
          <w:szCs w:val="24"/>
        </w:rPr>
        <w:t xml:space="preserve"> C, </w:t>
      </w:r>
      <w:proofErr w:type="spellStart"/>
      <w:r w:rsidRPr="00235939">
        <w:rPr>
          <w:rFonts w:asciiTheme="majorBidi" w:hAnsiTheme="majorBidi" w:cstheme="majorBidi"/>
          <w:sz w:val="24"/>
          <w:szCs w:val="24"/>
        </w:rPr>
        <w:t>Borgione</w:t>
      </w:r>
      <w:proofErr w:type="spellEnd"/>
      <w:r w:rsidRPr="00235939">
        <w:rPr>
          <w:rFonts w:asciiTheme="majorBidi" w:hAnsiTheme="majorBidi" w:cstheme="majorBidi"/>
          <w:sz w:val="24"/>
          <w:szCs w:val="24"/>
        </w:rPr>
        <w:t xml:space="preserve"> SM, </w:t>
      </w:r>
      <w:proofErr w:type="spellStart"/>
      <w:r w:rsidRPr="00235939">
        <w:rPr>
          <w:rFonts w:asciiTheme="majorBidi" w:hAnsiTheme="majorBidi" w:cstheme="majorBidi"/>
          <w:sz w:val="24"/>
          <w:szCs w:val="24"/>
        </w:rPr>
        <w:t>Spada</w:t>
      </w:r>
      <w:proofErr w:type="spellEnd"/>
      <w:r w:rsidRPr="00235939">
        <w:rPr>
          <w:rFonts w:asciiTheme="majorBidi" w:hAnsiTheme="majorBidi" w:cstheme="majorBidi"/>
          <w:sz w:val="24"/>
          <w:szCs w:val="24"/>
        </w:rPr>
        <w:t xml:space="preserve"> E, et al. Effect of nasal continuous positive airway pressure vs heated humidified high-flow nasal cannula on feeding intolerance in preterm infants with respiratory distress syndrome: the ENTARES randomized clinical trial. JAMA Network Open. 2023;6(7):e2323052-e.</w:t>
      </w:r>
    </w:p>
    <w:p w14:paraId="77C053C7" w14:textId="77777777" w:rsidR="00235939" w:rsidRPr="00235939" w:rsidRDefault="00235939" w:rsidP="00235939">
      <w:pPr>
        <w:spacing w:line="480" w:lineRule="auto"/>
        <w:jc w:val="both"/>
        <w:rPr>
          <w:rFonts w:asciiTheme="majorBidi" w:hAnsiTheme="majorBidi" w:cstheme="majorBidi"/>
          <w:sz w:val="24"/>
          <w:szCs w:val="24"/>
        </w:rPr>
      </w:pPr>
    </w:p>
    <w:p w14:paraId="285AE604"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lastRenderedPageBreak/>
        <w:t>Luo K, Huang Y, Xiong T, Tang J. High-flow nasal cannula versus continuous positive airway pressure in primary respiratory support for preterm infants: a systematic review and meta-analysis. Frontiers in pediatrics. 2022;10:980024.</w:t>
      </w:r>
    </w:p>
    <w:p w14:paraId="4236F082" w14:textId="77777777" w:rsidR="00235939" w:rsidRPr="00235939" w:rsidRDefault="00235939" w:rsidP="00235939">
      <w:pPr>
        <w:spacing w:line="480" w:lineRule="auto"/>
        <w:jc w:val="both"/>
        <w:rPr>
          <w:rFonts w:asciiTheme="majorBidi" w:hAnsiTheme="majorBidi" w:cstheme="majorBidi"/>
          <w:sz w:val="24"/>
          <w:szCs w:val="24"/>
        </w:rPr>
      </w:pPr>
    </w:p>
    <w:p w14:paraId="50B588E3"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t>Luo K, Huang Y, Xiong T, Tang J. High-flow nasal cannula versus continuous positive airway pressure in primary respiratory support for preterm infants: a systematic review and meta-analysis. Frontiers in Pediatrics. 2022;10:980024.</w:t>
      </w:r>
    </w:p>
    <w:p w14:paraId="5F514840" w14:textId="77777777" w:rsidR="00235939" w:rsidRPr="00235939" w:rsidRDefault="00235939" w:rsidP="00235939">
      <w:pPr>
        <w:spacing w:line="480" w:lineRule="auto"/>
        <w:jc w:val="both"/>
        <w:rPr>
          <w:rFonts w:asciiTheme="majorBidi" w:hAnsiTheme="majorBidi" w:cstheme="majorBidi"/>
          <w:sz w:val="24"/>
          <w:szCs w:val="24"/>
        </w:rPr>
      </w:pPr>
    </w:p>
    <w:p w14:paraId="4C4DACA5"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t xml:space="preserve">Uchiyama A, </w:t>
      </w:r>
      <w:proofErr w:type="spellStart"/>
      <w:r w:rsidRPr="00235939">
        <w:rPr>
          <w:rFonts w:asciiTheme="majorBidi" w:hAnsiTheme="majorBidi" w:cstheme="majorBidi"/>
          <w:sz w:val="24"/>
          <w:szCs w:val="24"/>
        </w:rPr>
        <w:t>Ochiai</w:t>
      </w:r>
      <w:proofErr w:type="spellEnd"/>
      <w:r w:rsidRPr="00235939">
        <w:rPr>
          <w:rFonts w:asciiTheme="majorBidi" w:hAnsiTheme="majorBidi" w:cstheme="majorBidi"/>
          <w:sz w:val="24"/>
          <w:szCs w:val="24"/>
        </w:rPr>
        <w:t xml:space="preserve"> S, Murayama Y. Noninvasive respiratory support following extubation in preterm infants. Pediatrics International. 2023;65:e15535.</w:t>
      </w:r>
    </w:p>
    <w:p w14:paraId="5AE51746" w14:textId="77777777" w:rsidR="00235939" w:rsidRPr="00235939" w:rsidRDefault="00235939" w:rsidP="00235939">
      <w:pPr>
        <w:spacing w:line="480" w:lineRule="auto"/>
        <w:jc w:val="both"/>
        <w:rPr>
          <w:rFonts w:asciiTheme="majorBidi" w:hAnsiTheme="majorBidi" w:cstheme="majorBidi"/>
          <w:sz w:val="24"/>
          <w:szCs w:val="24"/>
        </w:rPr>
      </w:pPr>
    </w:p>
    <w:p w14:paraId="21BAB066"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t xml:space="preserve">Singh S, </w:t>
      </w:r>
      <w:proofErr w:type="spellStart"/>
      <w:r w:rsidRPr="00235939">
        <w:rPr>
          <w:rFonts w:asciiTheme="majorBidi" w:hAnsiTheme="majorBidi" w:cstheme="majorBidi"/>
          <w:sz w:val="24"/>
          <w:szCs w:val="24"/>
        </w:rPr>
        <w:t>Ananthan</w:t>
      </w:r>
      <w:proofErr w:type="spellEnd"/>
      <w:r w:rsidRPr="00235939">
        <w:rPr>
          <w:rFonts w:asciiTheme="majorBidi" w:hAnsiTheme="majorBidi" w:cstheme="majorBidi"/>
          <w:sz w:val="24"/>
          <w:szCs w:val="24"/>
        </w:rPr>
        <w:t xml:space="preserve"> A, </w:t>
      </w:r>
      <w:proofErr w:type="spellStart"/>
      <w:r w:rsidRPr="00235939">
        <w:rPr>
          <w:rFonts w:asciiTheme="majorBidi" w:hAnsiTheme="majorBidi" w:cstheme="majorBidi"/>
          <w:sz w:val="24"/>
          <w:szCs w:val="24"/>
        </w:rPr>
        <w:t>Nanavati</w:t>
      </w:r>
      <w:proofErr w:type="spellEnd"/>
      <w:r w:rsidRPr="00235939">
        <w:rPr>
          <w:rFonts w:asciiTheme="majorBidi" w:hAnsiTheme="majorBidi" w:cstheme="majorBidi"/>
          <w:sz w:val="24"/>
          <w:szCs w:val="24"/>
        </w:rPr>
        <w:t xml:space="preserve"> R. Post-INSURE administration of heated humidified high-flow therapy versus nasal continuous positive airway pressure in preterm infants more than 28 Weeks gestation with respiratory distress syndrome: a randomized non-inferiority trial. Journal of Tropical Pediatrics. 2022;68:fmac062.</w:t>
      </w:r>
    </w:p>
    <w:p w14:paraId="120DF5F9" w14:textId="77777777" w:rsidR="00235939" w:rsidRPr="00235939" w:rsidRDefault="00235939" w:rsidP="00235939">
      <w:pPr>
        <w:spacing w:line="480" w:lineRule="auto"/>
        <w:jc w:val="both"/>
        <w:rPr>
          <w:rFonts w:asciiTheme="majorBidi" w:hAnsiTheme="majorBidi" w:cstheme="majorBidi"/>
          <w:sz w:val="24"/>
          <w:szCs w:val="24"/>
        </w:rPr>
      </w:pPr>
    </w:p>
    <w:p w14:paraId="50072239" w14:textId="24C6595D" w:rsidR="00235939" w:rsidRDefault="00235939" w:rsidP="004A648B">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t xml:space="preserve">Zhu X, Qi H, Feng Z, Li J, Shi Y, Zhao D. Noninvasive high-frequency oscillatory ventilation vs nasal continuous positive airway pressure vs nasal intermittent positive pressure ventilation as </w:t>
      </w:r>
      <w:proofErr w:type="spellStart"/>
      <w:r w:rsidRPr="00235939">
        <w:rPr>
          <w:rFonts w:asciiTheme="majorBidi" w:hAnsiTheme="majorBidi" w:cstheme="majorBidi"/>
          <w:sz w:val="24"/>
          <w:szCs w:val="24"/>
        </w:rPr>
        <w:t>postextubation</w:t>
      </w:r>
      <w:proofErr w:type="spellEnd"/>
      <w:r w:rsidRPr="00235939">
        <w:rPr>
          <w:rFonts w:asciiTheme="majorBidi" w:hAnsiTheme="majorBidi" w:cstheme="majorBidi"/>
          <w:sz w:val="24"/>
          <w:szCs w:val="24"/>
        </w:rPr>
        <w:t xml:space="preserve"> support for preterm neonates in China: a randomized clinical trial. JAMA Pediatrics. 2022;176:551-559.</w:t>
      </w:r>
    </w:p>
    <w:p w14:paraId="20F376A8" w14:textId="77777777" w:rsidR="004A648B" w:rsidRPr="004A648B" w:rsidRDefault="004A648B" w:rsidP="004A648B">
      <w:pPr>
        <w:pStyle w:val="ListParagraph"/>
        <w:rPr>
          <w:rFonts w:asciiTheme="majorBidi" w:hAnsiTheme="majorBidi" w:cstheme="majorBidi"/>
          <w:sz w:val="24"/>
          <w:szCs w:val="24"/>
        </w:rPr>
      </w:pPr>
    </w:p>
    <w:p w14:paraId="685F0944" w14:textId="4E2AD571" w:rsidR="004A648B" w:rsidRPr="003F471B" w:rsidRDefault="004A648B" w:rsidP="004A648B">
      <w:pPr>
        <w:pStyle w:val="ListParagraph"/>
        <w:numPr>
          <w:ilvl w:val="0"/>
          <w:numId w:val="35"/>
        </w:numPr>
        <w:spacing w:line="480" w:lineRule="auto"/>
        <w:ind w:left="360"/>
        <w:jc w:val="both"/>
        <w:rPr>
          <w:rFonts w:ascii="Times New Roman" w:hAnsi="Times New Roman" w:cs="Times New Roman"/>
          <w:sz w:val="24"/>
          <w:szCs w:val="24"/>
        </w:rPr>
      </w:pPr>
      <w:r w:rsidRPr="003F471B">
        <w:rPr>
          <w:rFonts w:ascii="Times New Roman" w:hAnsi="Times New Roman" w:cs="Times New Roman"/>
          <w:color w:val="222222"/>
          <w:sz w:val="24"/>
          <w:szCs w:val="24"/>
          <w:shd w:val="clear" w:color="auto" w:fill="FFFFFF"/>
        </w:rPr>
        <w:lastRenderedPageBreak/>
        <w:t xml:space="preserve">Walsh V, Brown JV, </w:t>
      </w:r>
      <w:proofErr w:type="spellStart"/>
      <w:r w:rsidRPr="003F471B">
        <w:rPr>
          <w:rFonts w:ascii="Times New Roman" w:hAnsi="Times New Roman" w:cs="Times New Roman"/>
          <w:color w:val="222222"/>
          <w:sz w:val="24"/>
          <w:szCs w:val="24"/>
          <w:shd w:val="clear" w:color="auto" w:fill="FFFFFF"/>
        </w:rPr>
        <w:t>Copperthwaite</w:t>
      </w:r>
      <w:proofErr w:type="spellEnd"/>
      <w:r w:rsidRPr="003F471B">
        <w:rPr>
          <w:rFonts w:ascii="Times New Roman" w:hAnsi="Times New Roman" w:cs="Times New Roman"/>
          <w:color w:val="222222"/>
          <w:sz w:val="24"/>
          <w:szCs w:val="24"/>
          <w:shd w:val="clear" w:color="auto" w:fill="FFFFFF"/>
        </w:rPr>
        <w:t xml:space="preserve"> BR, </w:t>
      </w:r>
      <w:proofErr w:type="spellStart"/>
      <w:r w:rsidRPr="003F471B">
        <w:rPr>
          <w:rFonts w:ascii="Times New Roman" w:hAnsi="Times New Roman" w:cs="Times New Roman"/>
          <w:color w:val="222222"/>
          <w:sz w:val="24"/>
          <w:szCs w:val="24"/>
          <w:shd w:val="clear" w:color="auto" w:fill="FFFFFF"/>
        </w:rPr>
        <w:t>Oddie</w:t>
      </w:r>
      <w:proofErr w:type="spellEnd"/>
      <w:r w:rsidRPr="003F471B">
        <w:rPr>
          <w:rFonts w:ascii="Times New Roman" w:hAnsi="Times New Roman" w:cs="Times New Roman"/>
          <w:color w:val="222222"/>
          <w:sz w:val="24"/>
          <w:szCs w:val="24"/>
          <w:shd w:val="clear" w:color="auto" w:fill="FFFFFF"/>
        </w:rPr>
        <w:t xml:space="preserve"> SJ, McGuire W. Early full enteral feeding for preterm or low birth weight infants. Cochrane Database of Systematic Reviews. 2020(12).</w:t>
      </w:r>
    </w:p>
    <w:p w14:paraId="4922F20E" w14:textId="77777777" w:rsidR="004A648B" w:rsidRPr="004A648B" w:rsidRDefault="004A648B" w:rsidP="004A648B">
      <w:pPr>
        <w:pStyle w:val="ListParagraph"/>
        <w:rPr>
          <w:rFonts w:ascii="Times New Roman" w:hAnsi="Times New Roman" w:cs="Times New Roman"/>
          <w:sz w:val="24"/>
          <w:szCs w:val="24"/>
        </w:rPr>
      </w:pPr>
    </w:p>
    <w:p w14:paraId="5C4B204C" w14:textId="77777777" w:rsidR="004A648B" w:rsidRPr="004A648B" w:rsidRDefault="004A648B" w:rsidP="004A648B">
      <w:pPr>
        <w:pStyle w:val="ListParagraph"/>
        <w:spacing w:line="480" w:lineRule="auto"/>
        <w:ind w:left="360"/>
        <w:jc w:val="both"/>
        <w:rPr>
          <w:rFonts w:ascii="Times New Roman" w:hAnsi="Times New Roman" w:cs="Times New Roman"/>
          <w:sz w:val="24"/>
          <w:szCs w:val="24"/>
        </w:rPr>
      </w:pPr>
    </w:p>
    <w:p w14:paraId="3CB8BD1F"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proofErr w:type="spellStart"/>
      <w:r w:rsidRPr="00235939">
        <w:rPr>
          <w:rFonts w:asciiTheme="majorBidi" w:hAnsiTheme="majorBidi" w:cstheme="majorBidi"/>
          <w:sz w:val="24"/>
          <w:szCs w:val="24"/>
        </w:rPr>
        <w:t>Razzaghy</w:t>
      </w:r>
      <w:proofErr w:type="spellEnd"/>
      <w:r w:rsidRPr="00235939">
        <w:rPr>
          <w:rFonts w:asciiTheme="majorBidi" w:hAnsiTheme="majorBidi" w:cstheme="majorBidi"/>
          <w:sz w:val="24"/>
          <w:szCs w:val="24"/>
        </w:rPr>
        <w:t xml:space="preserve"> J, </w:t>
      </w:r>
      <w:proofErr w:type="spellStart"/>
      <w:r w:rsidRPr="00235939">
        <w:rPr>
          <w:rFonts w:asciiTheme="majorBidi" w:hAnsiTheme="majorBidi" w:cstheme="majorBidi"/>
          <w:sz w:val="24"/>
          <w:szCs w:val="24"/>
        </w:rPr>
        <w:t>Shukla</w:t>
      </w:r>
      <w:proofErr w:type="spellEnd"/>
      <w:r w:rsidRPr="00235939">
        <w:rPr>
          <w:rFonts w:asciiTheme="majorBidi" w:hAnsiTheme="majorBidi" w:cstheme="majorBidi"/>
          <w:sz w:val="24"/>
          <w:szCs w:val="24"/>
        </w:rPr>
        <w:t xml:space="preserve"> VV, </w:t>
      </w:r>
      <w:proofErr w:type="spellStart"/>
      <w:r w:rsidRPr="00235939">
        <w:rPr>
          <w:rFonts w:asciiTheme="majorBidi" w:hAnsiTheme="majorBidi" w:cstheme="majorBidi"/>
          <w:sz w:val="24"/>
          <w:szCs w:val="24"/>
        </w:rPr>
        <w:t>Gunawan</w:t>
      </w:r>
      <w:proofErr w:type="spellEnd"/>
      <w:r w:rsidRPr="00235939">
        <w:rPr>
          <w:rFonts w:asciiTheme="majorBidi" w:hAnsiTheme="majorBidi" w:cstheme="majorBidi"/>
          <w:sz w:val="24"/>
          <w:szCs w:val="24"/>
        </w:rPr>
        <w:t xml:space="preserve"> E, Christensen RD, Carey WA. Early and exclusive enteral nutrition in infants born very preterm. Archives of Disease in Childhood-Fetal and Neonatal Edition. 2024;109:378-383.</w:t>
      </w:r>
    </w:p>
    <w:p w14:paraId="163C34FE" w14:textId="77777777" w:rsidR="00235939" w:rsidRPr="00235939" w:rsidRDefault="00235939" w:rsidP="00235939">
      <w:pPr>
        <w:spacing w:line="480" w:lineRule="auto"/>
        <w:jc w:val="both"/>
        <w:rPr>
          <w:rFonts w:asciiTheme="majorBidi" w:hAnsiTheme="majorBidi" w:cstheme="majorBidi"/>
          <w:sz w:val="24"/>
          <w:szCs w:val="24"/>
        </w:rPr>
      </w:pPr>
    </w:p>
    <w:p w14:paraId="1EC9A8E0"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proofErr w:type="spellStart"/>
      <w:r w:rsidRPr="00235939">
        <w:rPr>
          <w:rFonts w:asciiTheme="majorBidi" w:hAnsiTheme="majorBidi" w:cstheme="majorBidi"/>
          <w:sz w:val="24"/>
          <w:szCs w:val="24"/>
        </w:rPr>
        <w:t>Boscarino</w:t>
      </w:r>
      <w:proofErr w:type="spellEnd"/>
      <w:r w:rsidRPr="00235939">
        <w:rPr>
          <w:rFonts w:asciiTheme="majorBidi" w:hAnsiTheme="majorBidi" w:cstheme="majorBidi"/>
          <w:sz w:val="24"/>
          <w:szCs w:val="24"/>
        </w:rPr>
        <w:t xml:space="preserve"> G, Conti MG, Di Chiara M. Early enteral feeding improves tolerance of parenteral nutrition in preterm newborns. Nutrients. 2021;13:3886.</w:t>
      </w:r>
    </w:p>
    <w:p w14:paraId="3960607C" w14:textId="77777777" w:rsidR="00235939" w:rsidRPr="00235939" w:rsidRDefault="00235939" w:rsidP="00235939">
      <w:pPr>
        <w:spacing w:line="480" w:lineRule="auto"/>
        <w:jc w:val="both"/>
        <w:rPr>
          <w:rFonts w:asciiTheme="majorBidi" w:hAnsiTheme="majorBidi" w:cstheme="majorBidi"/>
          <w:sz w:val="24"/>
          <w:szCs w:val="24"/>
        </w:rPr>
      </w:pPr>
    </w:p>
    <w:p w14:paraId="416236FC"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proofErr w:type="spellStart"/>
      <w:r w:rsidRPr="00235939">
        <w:rPr>
          <w:rFonts w:asciiTheme="majorBidi" w:hAnsiTheme="majorBidi" w:cstheme="majorBidi"/>
          <w:sz w:val="24"/>
          <w:szCs w:val="24"/>
        </w:rPr>
        <w:t>Iranpour</w:t>
      </w:r>
      <w:proofErr w:type="spellEnd"/>
      <w:r w:rsidRPr="00235939">
        <w:rPr>
          <w:rFonts w:asciiTheme="majorBidi" w:hAnsiTheme="majorBidi" w:cstheme="majorBidi"/>
          <w:sz w:val="24"/>
          <w:szCs w:val="24"/>
        </w:rPr>
        <w:t xml:space="preserve"> R, </w:t>
      </w:r>
      <w:proofErr w:type="spellStart"/>
      <w:r w:rsidRPr="00235939">
        <w:rPr>
          <w:rFonts w:asciiTheme="majorBidi" w:hAnsiTheme="majorBidi" w:cstheme="majorBidi"/>
          <w:sz w:val="24"/>
          <w:szCs w:val="24"/>
        </w:rPr>
        <w:t>Armanian</w:t>
      </w:r>
      <w:proofErr w:type="spellEnd"/>
      <w:r w:rsidRPr="00235939">
        <w:rPr>
          <w:rFonts w:asciiTheme="majorBidi" w:hAnsiTheme="majorBidi" w:cstheme="majorBidi"/>
          <w:sz w:val="24"/>
          <w:szCs w:val="24"/>
        </w:rPr>
        <w:t xml:space="preserve"> AM, </w:t>
      </w:r>
      <w:proofErr w:type="spellStart"/>
      <w:r w:rsidRPr="00235939">
        <w:rPr>
          <w:rFonts w:asciiTheme="majorBidi" w:hAnsiTheme="majorBidi" w:cstheme="majorBidi"/>
          <w:sz w:val="24"/>
          <w:szCs w:val="24"/>
        </w:rPr>
        <w:t>Miladi</w:t>
      </w:r>
      <w:proofErr w:type="spellEnd"/>
      <w:r w:rsidRPr="00235939">
        <w:rPr>
          <w:rFonts w:asciiTheme="majorBidi" w:hAnsiTheme="majorBidi" w:cstheme="majorBidi"/>
          <w:sz w:val="24"/>
          <w:szCs w:val="24"/>
        </w:rPr>
        <w:t xml:space="preserve"> N. Effect of prophylactic caffeine on noninvasive respiratory support in preterm neonates weighing 1250–2000 g: a randomized controlled trial. Archives of Iranian Medicine. 2022;25:98-104.</w:t>
      </w:r>
    </w:p>
    <w:p w14:paraId="6FE43564" w14:textId="77777777" w:rsidR="00235939" w:rsidRPr="00235939" w:rsidRDefault="00235939" w:rsidP="00235939">
      <w:pPr>
        <w:spacing w:line="480" w:lineRule="auto"/>
        <w:jc w:val="both"/>
        <w:rPr>
          <w:rFonts w:asciiTheme="majorBidi" w:hAnsiTheme="majorBidi" w:cstheme="majorBidi"/>
          <w:sz w:val="24"/>
          <w:szCs w:val="24"/>
        </w:rPr>
      </w:pPr>
    </w:p>
    <w:p w14:paraId="20E120FC"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t>Pan R, Chen GY, Wang J, Zhang J. Bi-level nasal positive airway pressure (BiPAP) versus nasal continuous positive airway pressure (CPAP) for preterm infants with birth weight less than 1500 g and respiratory distress syndrome following INSURE treatment: a two-center randomized controlled trial. Current Medical Science. 2021;41:542-547.</w:t>
      </w:r>
    </w:p>
    <w:p w14:paraId="77BB2D59" w14:textId="77777777" w:rsidR="00235939" w:rsidRPr="00235939" w:rsidRDefault="00235939" w:rsidP="00235939">
      <w:pPr>
        <w:spacing w:line="480" w:lineRule="auto"/>
        <w:jc w:val="both"/>
        <w:rPr>
          <w:rFonts w:asciiTheme="majorBidi" w:hAnsiTheme="majorBidi" w:cstheme="majorBidi"/>
          <w:sz w:val="24"/>
          <w:szCs w:val="24"/>
        </w:rPr>
      </w:pPr>
    </w:p>
    <w:p w14:paraId="456A5605" w14:textId="77777777" w:rsidR="004A648B" w:rsidRDefault="00235939" w:rsidP="004A648B">
      <w:pPr>
        <w:pStyle w:val="ListParagraph"/>
        <w:numPr>
          <w:ilvl w:val="0"/>
          <w:numId w:val="35"/>
        </w:numPr>
        <w:spacing w:line="480" w:lineRule="auto"/>
        <w:ind w:left="360"/>
        <w:jc w:val="both"/>
        <w:rPr>
          <w:rFonts w:asciiTheme="majorBidi" w:hAnsiTheme="majorBidi" w:cstheme="majorBidi"/>
          <w:sz w:val="24"/>
          <w:szCs w:val="24"/>
        </w:rPr>
      </w:pPr>
      <w:proofErr w:type="spellStart"/>
      <w:r w:rsidRPr="00235939">
        <w:rPr>
          <w:rFonts w:asciiTheme="majorBidi" w:hAnsiTheme="majorBidi" w:cstheme="majorBidi"/>
          <w:sz w:val="24"/>
          <w:szCs w:val="24"/>
        </w:rPr>
        <w:lastRenderedPageBreak/>
        <w:t>Sorokina</w:t>
      </w:r>
      <w:proofErr w:type="spellEnd"/>
      <w:r w:rsidRPr="00235939">
        <w:rPr>
          <w:rFonts w:asciiTheme="majorBidi" w:hAnsiTheme="majorBidi" w:cstheme="majorBidi"/>
          <w:sz w:val="24"/>
          <w:szCs w:val="24"/>
        </w:rPr>
        <w:t xml:space="preserve"> OY, </w:t>
      </w:r>
      <w:proofErr w:type="spellStart"/>
      <w:r w:rsidRPr="00235939">
        <w:rPr>
          <w:rFonts w:asciiTheme="majorBidi" w:hAnsiTheme="majorBidi" w:cstheme="majorBidi"/>
          <w:sz w:val="24"/>
          <w:szCs w:val="24"/>
        </w:rPr>
        <w:t>Bolonska</w:t>
      </w:r>
      <w:proofErr w:type="spellEnd"/>
      <w:r w:rsidRPr="00235939">
        <w:rPr>
          <w:rFonts w:asciiTheme="majorBidi" w:hAnsiTheme="majorBidi" w:cstheme="majorBidi"/>
          <w:sz w:val="24"/>
          <w:szCs w:val="24"/>
        </w:rPr>
        <w:t xml:space="preserve"> AV. Predictors of bronchopulmonary dysplasia development and comorbidities of prematurity associated with respiratory support techniques in premature neonates. </w:t>
      </w:r>
      <w:proofErr w:type="spellStart"/>
      <w:r w:rsidRPr="00235939">
        <w:rPr>
          <w:rFonts w:asciiTheme="majorBidi" w:hAnsiTheme="majorBidi" w:cstheme="majorBidi"/>
          <w:sz w:val="24"/>
          <w:szCs w:val="24"/>
        </w:rPr>
        <w:t>Wiad</w:t>
      </w:r>
      <w:proofErr w:type="spellEnd"/>
      <w:r w:rsidRPr="00235939">
        <w:rPr>
          <w:rFonts w:asciiTheme="majorBidi" w:hAnsiTheme="majorBidi" w:cstheme="majorBidi"/>
          <w:sz w:val="24"/>
          <w:szCs w:val="24"/>
        </w:rPr>
        <w:t xml:space="preserve"> </w:t>
      </w:r>
      <w:proofErr w:type="spellStart"/>
      <w:r w:rsidRPr="00235939">
        <w:rPr>
          <w:rFonts w:asciiTheme="majorBidi" w:hAnsiTheme="majorBidi" w:cstheme="majorBidi"/>
          <w:sz w:val="24"/>
          <w:szCs w:val="24"/>
        </w:rPr>
        <w:t>Lek</w:t>
      </w:r>
      <w:proofErr w:type="spellEnd"/>
      <w:r w:rsidRPr="00235939">
        <w:rPr>
          <w:rFonts w:asciiTheme="majorBidi" w:hAnsiTheme="majorBidi" w:cstheme="majorBidi"/>
          <w:sz w:val="24"/>
          <w:szCs w:val="24"/>
        </w:rPr>
        <w:t>. 2021;74:1699-1706.</w:t>
      </w:r>
    </w:p>
    <w:p w14:paraId="1B72CC7E" w14:textId="77777777" w:rsidR="004A648B" w:rsidRPr="004A648B" w:rsidRDefault="004A648B" w:rsidP="004A648B">
      <w:pPr>
        <w:pStyle w:val="ListParagraph"/>
        <w:rPr>
          <w:rFonts w:ascii="Arial" w:hAnsi="Arial" w:cs="Arial"/>
          <w:color w:val="222222"/>
          <w:sz w:val="20"/>
          <w:szCs w:val="20"/>
          <w:shd w:val="clear" w:color="auto" w:fill="FFFFFF"/>
        </w:rPr>
      </w:pPr>
    </w:p>
    <w:p w14:paraId="1811B74C" w14:textId="5F17DB3A" w:rsidR="004A648B" w:rsidRPr="003F471B" w:rsidRDefault="004A648B" w:rsidP="004A648B">
      <w:pPr>
        <w:pStyle w:val="ListParagraph"/>
        <w:numPr>
          <w:ilvl w:val="0"/>
          <w:numId w:val="35"/>
        </w:numPr>
        <w:spacing w:line="480" w:lineRule="auto"/>
        <w:ind w:left="360"/>
        <w:jc w:val="both"/>
        <w:rPr>
          <w:rFonts w:ascii="Times New Roman" w:hAnsi="Times New Roman" w:cs="Times New Roman"/>
          <w:sz w:val="24"/>
          <w:szCs w:val="24"/>
        </w:rPr>
      </w:pPr>
      <w:proofErr w:type="spellStart"/>
      <w:r w:rsidRPr="003F471B">
        <w:rPr>
          <w:rFonts w:ascii="Times New Roman" w:hAnsi="Times New Roman" w:cs="Times New Roman"/>
          <w:color w:val="222222"/>
          <w:sz w:val="24"/>
          <w:szCs w:val="24"/>
          <w:shd w:val="clear" w:color="auto" w:fill="FFFFFF"/>
        </w:rPr>
        <w:t>Shen</w:t>
      </w:r>
      <w:proofErr w:type="spellEnd"/>
      <w:r w:rsidRPr="003F471B">
        <w:rPr>
          <w:rFonts w:ascii="Times New Roman" w:hAnsi="Times New Roman" w:cs="Times New Roman"/>
          <w:color w:val="222222"/>
          <w:sz w:val="24"/>
          <w:szCs w:val="24"/>
          <w:shd w:val="clear" w:color="auto" w:fill="FFFFFF"/>
        </w:rPr>
        <w:t xml:space="preserve"> R, </w:t>
      </w:r>
      <w:proofErr w:type="spellStart"/>
      <w:r w:rsidRPr="003F471B">
        <w:rPr>
          <w:rFonts w:ascii="Times New Roman" w:hAnsi="Times New Roman" w:cs="Times New Roman"/>
          <w:color w:val="222222"/>
          <w:sz w:val="24"/>
          <w:szCs w:val="24"/>
          <w:shd w:val="clear" w:color="auto" w:fill="FFFFFF"/>
        </w:rPr>
        <w:t>Embleton</w:t>
      </w:r>
      <w:proofErr w:type="spellEnd"/>
      <w:r w:rsidRPr="003F471B">
        <w:rPr>
          <w:rFonts w:ascii="Times New Roman" w:hAnsi="Times New Roman" w:cs="Times New Roman"/>
          <w:color w:val="222222"/>
          <w:sz w:val="24"/>
          <w:szCs w:val="24"/>
          <w:shd w:val="clear" w:color="auto" w:fill="FFFFFF"/>
        </w:rPr>
        <w:t xml:space="preserve"> N, Forman JL, Gale C, Greisen G, </w:t>
      </w:r>
      <w:proofErr w:type="spellStart"/>
      <w:r w:rsidRPr="003F471B">
        <w:rPr>
          <w:rFonts w:ascii="Times New Roman" w:hAnsi="Times New Roman" w:cs="Times New Roman"/>
          <w:color w:val="222222"/>
          <w:sz w:val="24"/>
          <w:szCs w:val="24"/>
          <w:shd w:val="clear" w:color="auto" w:fill="FFFFFF"/>
        </w:rPr>
        <w:t>Sangild</w:t>
      </w:r>
      <w:proofErr w:type="spellEnd"/>
      <w:r w:rsidRPr="003F471B">
        <w:rPr>
          <w:rFonts w:ascii="Times New Roman" w:hAnsi="Times New Roman" w:cs="Times New Roman"/>
          <w:color w:val="222222"/>
          <w:sz w:val="24"/>
          <w:szCs w:val="24"/>
          <w:shd w:val="clear" w:color="auto" w:fill="FFFFFF"/>
        </w:rPr>
        <w:t xml:space="preserve"> PT, </w:t>
      </w:r>
      <w:proofErr w:type="spellStart"/>
      <w:r w:rsidRPr="003F471B">
        <w:rPr>
          <w:rFonts w:ascii="Times New Roman" w:hAnsi="Times New Roman" w:cs="Times New Roman"/>
          <w:color w:val="222222"/>
          <w:sz w:val="24"/>
          <w:szCs w:val="24"/>
          <w:shd w:val="clear" w:color="auto" w:fill="FFFFFF"/>
        </w:rPr>
        <w:t>Uthaya</w:t>
      </w:r>
      <w:proofErr w:type="spellEnd"/>
      <w:r w:rsidRPr="003F471B">
        <w:rPr>
          <w:rFonts w:ascii="Times New Roman" w:hAnsi="Times New Roman" w:cs="Times New Roman"/>
          <w:color w:val="222222"/>
          <w:sz w:val="24"/>
          <w:szCs w:val="24"/>
          <w:shd w:val="clear" w:color="auto" w:fill="FFFFFF"/>
        </w:rPr>
        <w:t xml:space="preserve"> S, </w:t>
      </w:r>
      <w:proofErr w:type="spellStart"/>
      <w:r w:rsidRPr="003F471B">
        <w:rPr>
          <w:rFonts w:ascii="Times New Roman" w:hAnsi="Times New Roman" w:cs="Times New Roman"/>
          <w:color w:val="222222"/>
          <w:sz w:val="24"/>
          <w:szCs w:val="24"/>
          <w:shd w:val="clear" w:color="auto" w:fill="FFFFFF"/>
        </w:rPr>
        <w:t>Berrington</w:t>
      </w:r>
      <w:proofErr w:type="spellEnd"/>
      <w:r w:rsidRPr="003F471B">
        <w:rPr>
          <w:rFonts w:ascii="Times New Roman" w:hAnsi="Times New Roman" w:cs="Times New Roman"/>
          <w:color w:val="222222"/>
          <w:sz w:val="24"/>
          <w:szCs w:val="24"/>
          <w:shd w:val="clear" w:color="auto" w:fill="FFFFFF"/>
        </w:rPr>
        <w:t xml:space="preserve"> J. Early antibiotic use and incidence of necrotising enterocolitis in very preterm infants: a protocol for a UK based observational study using routinely recorded data. BMJ open. 2022 Nov 1;12(11):e065934.</w:t>
      </w:r>
    </w:p>
    <w:p w14:paraId="50DA4674" w14:textId="77777777" w:rsidR="004A648B" w:rsidRPr="004A648B" w:rsidRDefault="004A648B" w:rsidP="004A648B">
      <w:pPr>
        <w:pStyle w:val="ListParagraph"/>
        <w:rPr>
          <w:rFonts w:ascii="Times New Roman" w:hAnsi="Times New Roman" w:cs="Times New Roman"/>
          <w:sz w:val="24"/>
          <w:szCs w:val="24"/>
        </w:rPr>
      </w:pPr>
    </w:p>
    <w:p w14:paraId="31422034" w14:textId="77777777" w:rsidR="004A648B" w:rsidRPr="004A648B" w:rsidRDefault="004A648B" w:rsidP="004A648B">
      <w:pPr>
        <w:pStyle w:val="ListParagraph"/>
        <w:spacing w:line="480" w:lineRule="auto"/>
        <w:ind w:left="360"/>
        <w:jc w:val="both"/>
        <w:rPr>
          <w:rFonts w:ascii="Times New Roman" w:hAnsi="Times New Roman" w:cs="Times New Roman"/>
          <w:sz w:val="24"/>
          <w:szCs w:val="24"/>
        </w:rPr>
      </w:pPr>
    </w:p>
    <w:p w14:paraId="30A71F28" w14:textId="1FD68083" w:rsidR="00235939" w:rsidRDefault="00235939" w:rsidP="004A648B">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t>Sayed MA, Begum F, Islam SN. Comparative study of Serum Creatinine and Serum Glucose Level between Term and Preterm Neonates in a Tertiary Care Hospital. TAJ: Journal of Teachers Association. 2021;34:64-70.</w:t>
      </w:r>
    </w:p>
    <w:p w14:paraId="030CF151" w14:textId="77777777" w:rsidR="004A648B" w:rsidRDefault="004A648B" w:rsidP="004A648B">
      <w:pPr>
        <w:pStyle w:val="ListParagraph"/>
        <w:spacing w:line="480" w:lineRule="auto"/>
        <w:ind w:left="360"/>
        <w:jc w:val="both"/>
        <w:rPr>
          <w:rFonts w:asciiTheme="majorBidi" w:hAnsiTheme="majorBidi" w:cstheme="majorBidi"/>
          <w:sz w:val="24"/>
          <w:szCs w:val="24"/>
        </w:rPr>
      </w:pPr>
    </w:p>
    <w:p w14:paraId="13DF4E6D" w14:textId="023CC22E" w:rsidR="004A648B" w:rsidRPr="003F471B" w:rsidRDefault="004A648B" w:rsidP="004A648B">
      <w:pPr>
        <w:pStyle w:val="ListParagraph"/>
        <w:numPr>
          <w:ilvl w:val="0"/>
          <w:numId w:val="35"/>
        </w:numPr>
        <w:spacing w:line="480" w:lineRule="auto"/>
        <w:ind w:left="360"/>
        <w:jc w:val="both"/>
        <w:rPr>
          <w:rFonts w:asciiTheme="majorBidi" w:hAnsiTheme="majorBidi" w:cstheme="majorBidi"/>
          <w:sz w:val="24"/>
          <w:szCs w:val="24"/>
        </w:rPr>
      </w:pPr>
      <w:bookmarkStart w:id="0" w:name="_GoBack"/>
      <w:bookmarkEnd w:id="0"/>
      <w:proofErr w:type="spellStart"/>
      <w:r w:rsidRPr="003F471B">
        <w:rPr>
          <w:rFonts w:asciiTheme="majorBidi" w:hAnsiTheme="majorBidi" w:cstheme="majorBidi"/>
          <w:color w:val="222222"/>
          <w:sz w:val="24"/>
          <w:szCs w:val="24"/>
          <w:shd w:val="clear" w:color="auto" w:fill="FFFFFF"/>
        </w:rPr>
        <w:t>Stritzke</w:t>
      </w:r>
      <w:proofErr w:type="spellEnd"/>
      <w:r w:rsidRPr="003F471B">
        <w:rPr>
          <w:rFonts w:asciiTheme="majorBidi" w:hAnsiTheme="majorBidi" w:cstheme="majorBidi"/>
          <w:color w:val="222222"/>
          <w:sz w:val="24"/>
          <w:szCs w:val="24"/>
          <w:shd w:val="clear" w:color="auto" w:fill="FFFFFF"/>
        </w:rPr>
        <w:t xml:space="preserve"> A, Ismail R, Rose MS, et al., Cord-blood derived chemistry reference values in preterm infants for sodium, chloride, potassium, glucose, and creatinine. American Journal of Perinatology. 2024 Apr;41(06):722-9.</w:t>
      </w:r>
    </w:p>
    <w:p w14:paraId="58C88656" w14:textId="77777777" w:rsidR="004A648B" w:rsidRPr="004A648B" w:rsidRDefault="004A648B" w:rsidP="004A648B">
      <w:pPr>
        <w:pStyle w:val="ListParagraph"/>
        <w:spacing w:line="480" w:lineRule="auto"/>
        <w:ind w:left="360"/>
        <w:jc w:val="both"/>
        <w:rPr>
          <w:rFonts w:asciiTheme="majorBidi" w:hAnsiTheme="majorBidi" w:cstheme="majorBidi"/>
          <w:sz w:val="24"/>
          <w:szCs w:val="24"/>
        </w:rPr>
      </w:pPr>
    </w:p>
    <w:p w14:paraId="1662FFA6"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proofErr w:type="spellStart"/>
      <w:r w:rsidRPr="00235939">
        <w:rPr>
          <w:rFonts w:asciiTheme="majorBidi" w:hAnsiTheme="majorBidi" w:cstheme="majorBidi"/>
          <w:sz w:val="24"/>
          <w:szCs w:val="24"/>
        </w:rPr>
        <w:t>Kadi</w:t>
      </w:r>
      <w:proofErr w:type="spellEnd"/>
      <w:r w:rsidRPr="00235939">
        <w:rPr>
          <w:rFonts w:asciiTheme="majorBidi" w:hAnsiTheme="majorBidi" w:cstheme="majorBidi"/>
          <w:sz w:val="24"/>
          <w:szCs w:val="24"/>
        </w:rPr>
        <w:t xml:space="preserve"> FA, </w:t>
      </w:r>
      <w:proofErr w:type="spellStart"/>
      <w:r w:rsidRPr="00235939">
        <w:rPr>
          <w:rFonts w:asciiTheme="majorBidi" w:hAnsiTheme="majorBidi" w:cstheme="majorBidi"/>
          <w:sz w:val="24"/>
          <w:szCs w:val="24"/>
        </w:rPr>
        <w:t>Yuniati</w:t>
      </w:r>
      <w:proofErr w:type="spellEnd"/>
      <w:r w:rsidRPr="00235939">
        <w:rPr>
          <w:rFonts w:asciiTheme="majorBidi" w:hAnsiTheme="majorBidi" w:cstheme="majorBidi"/>
          <w:sz w:val="24"/>
          <w:szCs w:val="24"/>
        </w:rPr>
        <w:t xml:space="preserve"> T, </w:t>
      </w:r>
      <w:proofErr w:type="spellStart"/>
      <w:r w:rsidRPr="00235939">
        <w:rPr>
          <w:rFonts w:asciiTheme="majorBidi" w:hAnsiTheme="majorBidi" w:cstheme="majorBidi"/>
          <w:sz w:val="24"/>
          <w:szCs w:val="24"/>
        </w:rPr>
        <w:t>Sribudian</w:t>
      </w:r>
      <w:proofErr w:type="spellEnd"/>
      <w:r w:rsidRPr="00235939">
        <w:rPr>
          <w:rFonts w:asciiTheme="majorBidi" w:hAnsiTheme="majorBidi" w:cstheme="majorBidi"/>
          <w:sz w:val="24"/>
          <w:szCs w:val="24"/>
        </w:rPr>
        <w:t xml:space="preserve"> Y. C-reactive protein and haemoglobin level in acute kidney injury among preterm newborns. Med </w:t>
      </w:r>
      <w:proofErr w:type="spellStart"/>
      <w:r w:rsidRPr="00235939">
        <w:rPr>
          <w:rFonts w:asciiTheme="majorBidi" w:hAnsiTheme="majorBidi" w:cstheme="majorBidi"/>
          <w:sz w:val="24"/>
          <w:szCs w:val="24"/>
        </w:rPr>
        <w:t>Glas</w:t>
      </w:r>
      <w:proofErr w:type="spellEnd"/>
      <w:r w:rsidRPr="00235939">
        <w:rPr>
          <w:rFonts w:asciiTheme="majorBidi" w:hAnsiTheme="majorBidi" w:cstheme="majorBidi"/>
          <w:sz w:val="24"/>
          <w:szCs w:val="24"/>
        </w:rPr>
        <w:t xml:space="preserve"> (</w:t>
      </w:r>
      <w:proofErr w:type="spellStart"/>
      <w:r w:rsidRPr="00235939">
        <w:rPr>
          <w:rFonts w:asciiTheme="majorBidi" w:hAnsiTheme="majorBidi" w:cstheme="majorBidi"/>
          <w:sz w:val="24"/>
          <w:szCs w:val="24"/>
        </w:rPr>
        <w:t>Zenica</w:t>
      </w:r>
      <w:proofErr w:type="spellEnd"/>
      <w:r w:rsidRPr="00235939">
        <w:rPr>
          <w:rFonts w:asciiTheme="majorBidi" w:hAnsiTheme="majorBidi" w:cstheme="majorBidi"/>
          <w:sz w:val="24"/>
          <w:szCs w:val="24"/>
        </w:rPr>
        <w:t>). 2021;18:410-414.</w:t>
      </w:r>
    </w:p>
    <w:p w14:paraId="6EF64D08" w14:textId="77777777" w:rsidR="00235939" w:rsidRPr="00235939" w:rsidRDefault="00235939" w:rsidP="00235939">
      <w:pPr>
        <w:spacing w:line="480" w:lineRule="auto"/>
        <w:jc w:val="both"/>
        <w:rPr>
          <w:rFonts w:asciiTheme="majorBidi" w:hAnsiTheme="majorBidi" w:cstheme="majorBidi"/>
          <w:sz w:val="24"/>
          <w:szCs w:val="24"/>
        </w:rPr>
      </w:pPr>
    </w:p>
    <w:p w14:paraId="79F621EA"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t xml:space="preserve">Uchiyama A, Okazaki K, Kondo M, Hibino S, </w:t>
      </w:r>
      <w:proofErr w:type="spellStart"/>
      <w:r w:rsidRPr="00235939">
        <w:rPr>
          <w:rFonts w:asciiTheme="majorBidi" w:hAnsiTheme="majorBidi" w:cstheme="majorBidi"/>
          <w:sz w:val="24"/>
          <w:szCs w:val="24"/>
        </w:rPr>
        <w:t>Gotoh</w:t>
      </w:r>
      <w:proofErr w:type="spellEnd"/>
      <w:r w:rsidRPr="00235939">
        <w:rPr>
          <w:rFonts w:asciiTheme="majorBidi" w:hAnsiTheme="majorBidi" w:cstheme="majorBidi"/>
          <w:sz w:val="24"/>
          <w:szCs w:val="24"/>
        </w:rPr>
        <w:t xml:space="preserve"> S, Nishida K. Randomized controlled trial of high-flow nasal cannula in preterm infants after extubation. Pediatrics. 2020;146.</w:t>
      </w:r>
    </w:p>
    <w:p w14:paraId="72801181" w14:textId="77777777" w:rsidR="00235939" w:rsidRPr="00235939" w:rsidRDefault="00235939" w:rsidP="00235939">
      <w:pPr>
        <w:spacing w:line="480" w:lineRule="auto"/>
        <w:jc w:val="both"/>
        <w:rPr>
          <w:rFonts w:asciiTheme="majorBidi" w:hAnsiTheme="majorBidi" w:cstheme="majorBidi"/>
          <w:sz w:val="24"/>
          <w:szCs w:val="24"/>
        </w:rPr>
      </w:pPr>
    </w:p>
    <w:p w14:paraId="362C79AD"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lastRenderedPageBreak/>
        <w:t>Wang JJ, Zhang L, Cai N. A comparative study of the efficacy and safety of high-flow nasal cannula and nasal continuous positive airway pressure in neonatal respiratory distress syndrome: A protocol for systematic review and meta-analysis. Medicine. 2022;101:e29109.</w:t>
      </w:r>
    </w:p>
    <w:p w14:paraId="6344A668" w14:textId="77777777" w:rsidR="00235939" w:rsidRPr="00235939" w:rsidRDefault="00235939" w:rsidP="00235939">
      <w:pPr>
        <w:spacing w:line="480" w:lineRule="auto"/>
        <w:jc w:val="both"/>
        <w:rPr>
          <w:rFonts w:asciiTheme="majorBidi" w:hAnsiTheme="majorBidi" w:cstheme="majorBidi"/>
          <w:sz w:val="24"/>
          <w:szCs w:val="24"/>
        </w:rPr>
      </w:pPr>
    </w:p>
    <w:p w14:paraId="5BB0C556"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t>Li Y, Zhu X, Shi Y. Non-invasive high-frequency oscillatory ventilation versus nasal continuous positive airway pressure in extremely preterm infants with respiratory distress syndrome: study protocol for a multicentre randomised controlled, superiority trial. BMJ Open. 2023;13:e068450.</w:t>
      </w:r>
    </w:p>
    <w:p w14:paraId="278F611D" w14:textId="77777777" w:rsidR="00235939" w:rsidRPr="00235939" w:rsidRDefault="00235939" w:rsidP="00235939">
      <w:pPr>
        <w:spacing w:line="480" w:lineRule="auto"/>
        <w:jc w:val="both"/>
        <w:rPr>
          <w:rFonts w:asciiTheme="majorBidi" w:hAnsiTheme="majorBidi" w:cstheme="majorBidi"/>
          <w:sz w:val="24"/>
          <w:szCs w:val="24"/>
        </w:rPr>
      </w:pPr>
    </w:p>
    <w:p w14:paraId="428D6C74"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t>Mukerji A, Rempel E, Thabane L. High continuous positive airway pressures versus non-invasive positive pressure ventilation in preterm neonates: protocol for a multicentre pilot randomised controlled trial. BMJ Open. 2023;13:e069024.</w:t>
      </w:r>
    </w:p>
    <w:p w14:paraId="46866C97" w14:textId="77777777" w:rsidR="00235939" w:rsidRPr="00235939" w:rsidRDefault="00235939" w:rsidP="00235939">
      <w:pPr>
        <w:spacing w:line="480" w:lineRule="auto"/>
        <w:jc w:val="both"/>
        <w:rPr>
          <w:rFonts w:asciiTheme="majorBidi" w:hAnsiTheme="majorBidi" w:cstheme="majorBidi"/>
          <w:sz w:val="24"/>
          <w:szCs w:val="24"/>
        </w:rPr>
      </w:pPr>
    </w:p>
    <w:p w14:paraId="2E00BD84"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t xml:space="preserve">Qian M, Yu ZB, Chen XH, Wu XQ, Tang RM. Clinical features of preterm infants with a birth weight less than 1 500 g undergoing different intensities of resuscitation: a multicenter retrospective analysis. </w:t>
      </w:r>
      <w:proofErr w:type="spellStart"/>
      <w:r w:rsidRPr="00235939">
        <w:rPr>
          <w:rFonts w:asciiTheme="majorBidi" w:hAnsiTheme="majorBidi" w:cstheme="majorBidi"/>
          <w:sz w:val="24"/>
          <w:szCs w:val="24"/>
        </w:rPr>
        <w:t>Zhongguo</w:t>
      </w:r>
      <w:proofErr w:type="spellEnd"/>
      <w:r w:rsidRPr="00235939">
        <w:rPr>
          <w:rFonts w:asciiTheme="majorBidi" w:hAnsiTheme="majorBidi" w:cstheme="majorBidi"/>
          <w:sz w:val="24"/>
          <w:szCs w:val="24"/>
        </w:rPr>
        <w:t xml:space="preserve"> Dang </w:t>
      </w:r>
      <w:proofErr w:type="spellStart"/>
      <w:r w:rsidRPr="00235939">
        <w:rPr>
          <w:rFonts w:asciiTheme="majorBidi" w:hAnsiTheme="majorBidi" w:cstheme="majorBidi"/>
          <w:sz w:val="24"/>
          <w:szCs w:val="24"/>
        </w:rPr>
        <w:t>dai</w:t>
      </w:r>
      <w:proofErr w:type="spellEnd"/>
      <w:r w:rsidRPr="00235939">
        <w:rPr>
          <w:rFonts w:asciiTheme="majorBidi" w:hAnsiTheme="majorBidi" w:cstheme="majorBidi"/>
          <w:sz w:val="24"/>
          <w:szCs w:val="24"/>
        </w:rPr>
        <w:t xml:space="preserve"> </w:t>
      </w:r>
      <w:proofErr w:type="spellStart"/>
      <w:r w:rsidRPr="00235939">
        <w:rPr>
          <w:rFonts w:asciiTheme="majorBidi" w:hAnsiTheme="majorBidi" w:cstheme="majorBidi"/>
          <w:sz w:val="24"/>
          <w:szCs w:val="24"/>
        </w:rPr>
        <w:t>er</w:t>
      </w:r>
      <w:proofErr w:type="spellEnd"/>
      <w:r w:rsidRPr="00235939">
        <w:rPr>
          <w:rFonts w:asciiTheme="majorBidi" w:hAnsiTheme="majorBidi" w:cstheme="majorBidi"/>
          <w:sz w:val="24"/>
          <w:szCs w:val="24"/>
        </w:rPr>
        <w:t xml:space="preserve"> </w:t>
      </w:r>
      <w:proofErr w:type="spellStart"/>
      <w:r w:rsidRPr="00235939">
        <w:rPr>
          <w:rFonts w:asciiTheme="majorBidi" w:hAnsiTheme="majorBidi" w:cstheme="majorBidi"/>
          <w:sz w:val="24"/>
          <w:szCs w:val="24"/>
        </w:rPr>
        <w:t>ke</w:t>
      </w:r>
      <w:proofErr w:type="spellEnd"/>
      <w:r w:rsidRPr="00235939">
        <w:rPr>
          <w:rFonts w:asciiTheme="majorBidi" w:hAnsiTheme="majorBidi" w:cstheme="majorBidi"/>
          <w:sz w:val="24"/>
          <w:szCs w:val="24"/>
        </w:rPr>
        <w:t xml:space="preserve"> </w:t>
      </w:r>
      <w:proofErr w:type="spellStart"/>
      <w:r w:rsidRPr="00235939">
        <w:rPr>
          <w:rFonts w:asciiTheme="majorBidi" w:hAnsiTheme="majorBidi" w:cstheme="majorBidi"/>
          <w:sz w:val="24"/>
          <w:szCs w:val="24"/>
        </w:rPr>
        <w:t>za</w:t>
      </w:r>
      <w:proofErr w:type="spellEnd"/>
      <w:r w:rsidRPr="00235939">
        <w:rPr>
          <w:rFonts w:asciiTheme="majorBidi" w:hAnsiTheme="majorBidi" w:cstheme="majorBidi"/>
          <w:sz w:val="24"/>
          <w:szCs w:val="24"/>
        </w:rPr>
        <w:t xml:space="preserve"> </w:t>
      </w:r>
      <w:proofErr w:type="spellStart"/>
      <w:r w:rsidRPr="00235939">
        <w:rPr>
          <w:rFonts w:asciiTheme="majorBidi" w:hAnsiTheme="majorBidi" w:cstheme="majorBidi"/>
          <w:sz w:val="24"/>
          <w:szCs w:val="24"/>
        </w:rPr>
        <w:t>zhi</w:t>
      </w:r>
      <w:proofErr w:type="spellEnd"/>
      <w:r w:rsidRPr="00235939">
        <w:rPr>
          <w:rFonts w:asciiTheme="majorBidi" w:hAnsiTheme="majorBidi" w:cstheme="majorBidi"/>
          <w:sz w:val="24"/>
          <w:szCs w:val="24"/>
        </w:rPr>
        <w:t>= Chinese Journal of Contemporary Pediatrics. 2021;23:593-598.</w:t>
      </w:r>
    </w:p>
    <w:p w14:paraId="6D733091" w14:textId="77777777" w:rsidR="00235939" w:rsidRPr="00235939" w:rsidRDefault="00235939" w:rsidP="00235939">
      <w:pPr>
        <w:spacing w:line="480" w:lineRule="auto"/>
        <w:jc w:val="both"/>
        <w:rPr>
          <w:rFonts w:asciiTheme="majorBidi" w:hAnsiTheme="majorBidi" w:cstheme="majorBidi"/>
          <w:sz w:val="24"/>
          <w:szCs w:val="24"/>
        </w:rPr>
      </w:pPr>
    </w:p>
    <w:p w14:paraId="771B0CAE"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t xml:space="preserve">Lin L, Liu G, Li Y, Zhang N, </w:t>
      </w:r>
      <w:proofErr w:type="spellStart"/>
      <w:r w:rsidRPr="00235939">
        <w:rPr>
          <w:rFonts w:asciiTheme="majorBidi" w:hAnsiTheme="majorBidi" w:cstheme="majorBidi"/>
          <w:sz w:val="24"/>
          <w:szCs w:val="24"/>
        </w:rPr>
        <w:t>Qiu</w:t>
      </w:r>
      <w:proofErr w:type="spellEnd"/>
      <w:r w:rsidRPr="00235939">
        <w:rPr>
          <w:rFonts w:asciiTheme="majorBidi" w:hAnsiTheme="majorBidi" w:cstheme="majorBidi"/>
          <w:sz w:val="24"/>
          <w:szCs w:val="24"/>
        </w:rPr>
        <w:t xml:space="preserve"> G. Apgar scores correlate with survival rate at discharge in extremely preterm infants with gestational age of 25-27 weeks. Brazilian Journal of Medical and Biological Research. 2022;55:e12403.</w:t>
      </w:r>
    </w:p>
    <w:p w14:paraId="63C25F87" w14:textId="77777777" w:rsidR="00235939" w:rsidRPr="00235939" w:rsidRDefault="00235939" w:rsidP="00235939">
      <w:pPr>
        <w:spacing w:line="480" w:lineRule="auto"/>
        <w:jc w:val="both"/>
        <w:rPr>
          <w:rFonts w:asciiTheme="majorBidi" w:hAnsiTheme="majorBidi" w:cstheme="majorBidi"/>
          <w:sz w:val="24"/>
          <w:szCs w:val="24"/>
        </w:rPr>
      </w:pPr>
    </w:p>
    <w:p w14:paraId="32D7A2AC"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r w:rsidRPr="00235939">
        <w:rPr>
          <w:rFonts w:asciiTheme="majorBidi" w:hAnsiTheme="majorBidi" w:cstheme="majorBidi"/>
          <w:sz w:val="24"/>
          <w:szCs w:val="24"/>
        </w:rPr>
        <w:t>Shin J, Park K, Lee EH. Humidified high flow nasal cannula versus nasal continuous positive airway pressure as an initial respiratory support in preterm infants with respiratory distress: a randomized, controlled non-inferiority trial. Journal of Korean Medical Science. 2017;32:650.</w:t>
      </w:r>
    </w:p>
    <w:p w14:paraId="15887827" w14:textId="77777777" w:rsidR="00235939" w:rsidRPr="00235939" w:rsidRDefault="00235939" w:rsidP="00235939">
      <w:pPr>
        <w:spacing w:line="480" w:lineRule="auto"/>
        <w:jc w:val="both"/>
        <w:rPr>
          <w:rFonts w:asciiTheme="majorBidi" w:hAnsiTheme="majorBidi" w:cstheme="majorBidi"/>
          <w:sz w:val="24"/>
          <w:szCs w:val="24"/>
        </w:rPr>
      </w:pPr>
    </w:p>
    <w:p w14:paraId="2F763793"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proofErr w:type="spellStart"/>
      <w:r w:rsidRPr="00235939">
        <w:rPr>
          <w:rFonts w:asciiTheme="majorBidi" w:hAnsiTheme="majorBidi" w:cstheme="majorBidi"/>
          <w:sz w:val="24"/>
          <w:szCs w:val="24"/>
        </w:rPr>
        <w:t>Murki</w:t>
      </w:r>
      <w:proofErr w:type="spellEnd"/>
      <w:r w:rsidRPr="00235939">
        <w:rPr>
          <w:rFonts w:asciiTheme="majorBidi" w:hAnsiTheme="majorBidi" w:cstheme="majorBidi"/>
          <w:sz w:val="24"/>
          <w:szCs w:val="24"/>
        </w:rPr>
        <w:t xml:space="preserve"> S, Singh J, </w:t>
      </w:r>
      <w:proofErr w:type="spellStart"/>
      <w:r w:rsidRPr="00235939">
        <w:rPr>
          <w:rFonts w:asciiTheme="majorBidi" w:hAnsiTheme="majorBidi" w:cstheme="majorBidi"/>
          <w:sz w:val="24"/>
          <w:szCs w:val="24"/>
        </w:rPr>
        <w:t>Khant</w:t>
      </w:r>
      <w:proofErr w:type="spellEnd"/>
      <w:r w:rsidRPr="00235939">
        <w:rPr>
          <w:rFonts w:asciiTheme="majorBidi" w:hAnsiTheme="majorBidi" w:cstheme="majorBidi"/>
          <w:sz w:val="24"/>
          <w:szCs w:val="24"/>
        </w:rPr>
        <w:t xml:space="preserve"> C. High-flow nasal cannula versus nasal continuous positive airway pressure for primary respiratory support in preterm infants with respiratory distress: a randomized controlled trial. Neonatology. 2018;113:235-241.</w:t>
      </w:r>
    </w:p>
    <w:p w14:paraId="653EE036" w14:textId="77777777" w:rsidR="00235939" w:rsidRPr="00235939" w:rsidRDefault="00235939" w:rsidP="00235939">
      <w:pPr>
        <w:spacing w:line="480" w:lineRule="auto"/>
        <w:jc w:val="both"/>
        <w:rPr>
          <w:rFonts w:asciiTheme="majorBidi" w:hAnsiTheme="majorBidi" w:cstheme="majorBidi"/>
          <w:sz w:val="24"/>
          <w:szCs w:val="24"/>
        </w:rPr>
      </w:pPr>
    </w:p>
    <w:p w14:paraId="382C6158" w14:textId="77777777" w:rsidR="00235939"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proofErr w:type="spellStart"/>
      <w:r w:rsidRPr="00235939">
        <w:rPr>
          <w:rFonts w:asciiTheme="majorBidi" w:hAnsiTheme="majorBidi" w:cstheme="majorBidi"/>
          <w:sz w:val="24"/>
          <w:szCs w:val="24"/>
        </w:rPr>
        <w:t>Bruet</w:t>
      </w:r>
      <w:proofErr w:type="spellEnd"/>
      <w:r w:rsidRPr="00235939">
        <w:rPr>
          <w:rFonts w:asciiTheme="majorBidi" w:hAnsiTheme="majorBidi" w:cstheme="majorBidi"/>
          <w:sz w:val="24"/>
          <w:szCs w:val="24"/>
        </w:rPr>
        <w:t xml:space="preserve"> S, </w:t>
      </w:r>
      <w:proofErr w:type="spellStart"/>
      <w:r w:rsidRPr="00235939">
        <w:rPr>
          <w:rFonts w:asciiTheme="majorBidi" w:hAnsiTheme="majorBidi" w:cstheme="majorBidi"/>
          <w:sz w:val="24"/>
          <w:szCs w:val="24"/>
        </w:rPr>
        <w:t>Butin</w:t>
      </w:r>
      <w:proofErr w:type="spellEnd"/>
      <w:r w:rsidRPr="00235939">
        <w:rPr>
          <w:rFonts w:asciiTheme="majorBidi" w:hAnsiTheme="majorBidi" w:cstheme="majorBidi"/>
          <w:sz w:val="24"/>
          <w:szCs w:val="24"/>
        </w:rPr>
        <w:t xml:space="preserve"> M, </w:t>
      </w:r>
      <w:proofErr w:type="spellStart"/>
      <w:r w:rsidRPr="00235939">
        <w:rPr>
          <w:rFonts w:asciiTheme="majorBidi" w:hAnsiTheme="majorBidi" w:cstheme="majorBidi"/>
          <w:sz w:val="24"/>
          <w:szCs w:val="24"/>
        </w:rPr>
        <w:t>Dutheil</w:t>
      </w:r>
      <w:proofErr w:type="spellEnd"/>
      <w:r w:rsidRPr="00235939">
        <w:rPr>
          <w:rFonts w:asciiTheme="majorBidi" w:hAnsiTheme="majorBidi" w:cstheme="majorBidi"/>
          <w:sz w:val="24"/>
          <w:szCs w:val="24"/>
        </w:rPr>
        <w:t xml:space="preserve"> F. Systematic review of high-flow nasal cannula versus continuous positive airway pressure for primary support in preterm infants. Archives of Disease in Childhood-Fetal and Neonatal Edition. 2022;107:56-59.</w:t>
      </w:r>
    </w:p>
    <w:p w14:paraId="199F2BC3" w14:textId="77777777" w:rsidR="00235939" w:rsidRPr="00235939" w:rsidRDefault="00235939" w:rsidP="00235939">
      <w:pPr>
        <w:spacing w:line="480" w:lineRule="auto"/>
        <w:jc w:val="both"/>
        <w:rPr>
          <w:rFonts w:asciiTheme="majorBidi" w:hAnsiTheme="majorBidi" w:cstheme="majorBidi"/>
          <w:sz w:val="24"/>
          <w:szCs w:val="24"/>
        </w:rPr>
      </w:pPr>
    </w:p>
    <w:p w14:paraId="0A5E9390" w14:textId="77777777" w:rsidR="000F2791" w:rsidRPr="00235939" w:rsidRDefault="00235939" w:rsidP="00235939">
      <w:pPr>
        <w:pStyle w:val="ListParagraph"/>
        <w:numPr>
          <w:ilvl w:val="0"/>
          <w:numId w:val="35"/>
        </w:numPr>
        <w:spacing w:line="480" w:lineRule="auto"/>
        <w:ind w:left="360"/>
        <w:jc w:val="both"/>
        <w:rPr>
          <w:rFonts w:asciiTheme="majorBidi" w:hAnsiTheme="majorBidi" w:cstheme="majorBidi"/>
          <w:sz w:val="24"/>
          <w:szCs w:val="24"/>
        </w:rPr>
      </w:pPr>
      <w:proofErr w:type="spellStart"/>
      <w:r w:rsidRPr="00235939">
        <w:rPr>
          <w:rFonts w:asciiTheme="majorBidi" w:hAnsiTheme="majorBidi" w:cstheme="majorBidi"/>
          <w:sz w:val="24"/>
          <w:szCs w:val="24"/>
        </w:rPr>
        <w:t>Armanian</w:t>
      </w:r>
      <w:proofErr w:type="spellEnd"/>
      <w:r w:rsidRPr="00235939">
        <w:rPr>
          <w:rFonts w:asciiTheme="majorBidi" w:hAnsiTheme="majorBidi" w:cstheme="majorBidi"/>
          <w:sz w:val="24"/>
          <w:szCs w:val="24"/>
        </w:rPr>
        <w:t xml:space="preserve"> AM, </w:t>
      </w:r>
      <w:proofErr w:type="spellStart"/>
      <w:r w:rsidRPr="00235939">
        <w:rPr>
          <w:rFonts w:asciiTheme="majorBidi" w:hAnsiTheme="majorBidi" w:cstheme="majorBidi"/>
          <w:sz w:val="24"/>
          <w:szCs w:val="24"/>
        </w:rPr>
        <w:t>Iranpour</w:t>
      </w:r>
      <w:proofErr w:type="spellEnd"/>
      <w:r w:rsidRPr="00235939">
        <w:rPr>
          <w:rFonts w:asciiTheme="majorBidi" w:hAnsiTheme="majorBidi" w:cstheme="majorBidi"/>
          <w:sz w:val="24"/>
          <w:szCs w:val="24"/>
        </w:rPr>
        <w:t xml:space="preserve"> R, </w:t>
      </w:r>
      <w:proofErr w:type="spellStart"/>
      <w:r w:rsidRPr="00235939">
        <w:rPr>
          <w:rFonts w:asciiTheme="majorBidi" w:hAnsiTheme="majorBidi" w:cstheme="majorBidi"/>
          <w:sz w:val="24"/>
          <w:szCs w:val="24"/>
        </w:rPr>
        <w:t>Parvaneh</w:t>
      </w:r>
      <w:proofErr w:type="spellEnd"/>
      <w:r w:rsidRPr="00235939">
        <w:rPr>
          <w:rFonts w:asciiTheme="majorBidi" w:hAnsiTheme="majorBidi" w:cstheme="majorBidi"/>
          <w:sz w:val="24"/>
          <w:szCs w:val="24"/>
        </w:rPr>
        <w:t xml:space="preserve"> M. Heated humidified high flow nasal cannula (HHHFNC) is not an effective method for initial treatment of respiratory distress syndrome (RDS) versus nasal intermittent mandatory ventilation (NIMV) and nasal continuous positive airway pressure (NCPAP). Journal of Research in Medical Sciences. 2019;24:73.</w:t>
      </w:r>
    </w:p>
    <w:sectPr w:rsidR="000F2791" w:rsidRPr="00235939" w:rsidSect="005A3764">
      <w:pgSz w:w="12240" w:h="15840"/>
      <w:pgMar w:top="1440" w:right="1302" w:bottom="1440" w:left="1440"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13274" w14:textId="77777777" w:rsidR="0091553C" w:rsidRDefault="0091553C">
      <w:pPr>
        <w:spacing w:after="0" w:line="240" w:lineRule="auto"/>
      </w:pPr>
      <w:r>
        <w:separator/>
      </w:r>
    </w:p>
  </w:endnote>
  <w:endnote w:type="continuationSeparator" w:id="0">
    <w:p w14:paraId="2C68AAB8" w14:textId="77777777" w:rsidR="0091553C" w:rsidRDefault="00915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16528140"/>
      <w:docPartObj>
        <w:docPartGallery w:val="Page Numbers (Bottom of Page)"/>
        <w:docPartUnique/>
      </w:docPartObj>
    </w:sdtPr>
    <w:sdtEndPr>
      <w:rPr>
        <w:rStyle w:val="PageNumber"/>
      </w:rPr>
    </w:sdtEndPr>
    <w:sdtContent>
      <w:p w14:paraId="53CDAF5B" w14:textId="77777777" w:rsidR="003E39E0" w:rsidRDefault="001F7184" w:rsidP="005A37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68227979"/>
      <w:docPartObj>
        <w:docPartGallery w:val="Page Numbers (Bottom of Page)"/>
        <w:docPartUnique/>
      </w:docPartObj>
    </w:sdtPr>
    <w:sdtEndPr>
      <w:rPr>
        <w:rStyle w:val="PageNumber"/>
      </w:rPr>
    </w:sdtEndPr>
    <w:sdtContent>
      <w:p w14:paraId="14CD1B24" w14:textId="77777777" w:rsidR="003E39E0" w:rsidRDefault="001F7184" w:rsidP="005A376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96E8D5" w14:textId="77777777" w:rsidR="003E39E0" w:rsidRDefault="003E39E0" w:rsidP="005A37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6FA4F" w14:textId="77777777" w:rsidR="0080757B" w:rsidRDefault="0080757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3F471B">
      <w:rPr>
        <w:caps/>
        <w:noProof/>
        <w:color w:val="4F81BD" w:themeColor="accent1"/>
      </w:rPr>
      <w:t>17</w:t>
    </w:r>
    <w:r>
      <w:rPr>
        <w:caps/>
        <w:noProof/>
        <w:color w:val="4F81BD" w:themeColor="accent1"/>
      </w:rPr>
      <w:fldChar w:fldCharType="end"/>
    </w:r>
  </w:p>
  <w:p w14:paraId="7F2204D1" w14:textId="77777777" w:rsidR="003E39E0" w:rsidRDefault="003E39E0" w:rsidP="005A37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DD075" w14:textId="77777777" w:rsidR="0091553C" w:rsidRDefault="0091553C">
      <w:pPr>
        <w:spacing w:after="0" w:line="240" w:lineRule="auto"/>
      </w:pPr>
      <w:r>
        <w:separator/>
      </w:r>
    </w:p>
  </w:footnote>
  <w:footnote w:type="continuationSeparator" w:id="0">
    <w:p w14:paraId="4DF2EEBE" w14:textId="77777777" w:rsidR="0091553C" w:rsidRDefault="00915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455"/>
    <w:multiLevelType w:val="hybridMultilevel"/>
    <w:tmpl w:val="83CA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32D65"/>
    <w:multiLevelType w:val="hybridMultilevel"/>
    <w:tmpl w:val="76CA8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161DB"/>
    <w:multiLevelType w:val="hybridMultilevel"/>
    <w:tmpl w:val="2D160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74A2C"/>
    <w:multiLevelType w:val="hybridMultilevel"/>
    <w:tmpl w:val="64E0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343C1C"/>
    <w:multiLevelType w:val="hybridMultilevel"/>
    <w:tmpl w:val="7F6CED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BB49C0"/>
    <w:multiLevelType w:val="hybridMultilevel"/>
    <w:tmpl w:val="36DA9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A3FAC"/>
    <w:multiLevelType w:val="hybridMultilevel"/>
    <w:tmpl w:val="8384E1BC"/>
    <w:lvl w:ilvl="0" w:tplc="35C077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513E3"/>
    <w:multiLevelType w:val="multilevel"/>
    <w:tmpl w:val="4378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7303A4"/>
    <w:multiLevelType w:val="hybridMultilevel"/>
    <w:tmpl w:val="B6FA3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A5BD8"/>
    <w:multiLevelType w:val="multilevel"/>
    <w:tmpl w:val="8FD0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D872F4"/>
    <w:multiLevelType w:val="hybridMultilevel"/>
    <w:tmpl w:val="91E6B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48B8"/>
    <w:multiLevelType w:val="multilevel"/>
    <w:tmpl w:val="0F54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015668"/>
    <w:multiLevelType w:val="hybridMultilevel"/>
    <w:tmpl w:val="7A76A386"/>
    <w:lvl w:ilvl="0" w:tplc="C36E007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921B68"/>
    <w:multiLevelType w:val="multilevel"/>
    <w:tmpl w:val="1C96E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122FFE"/>
    <w:multiLevelType w:val="hybridMultilevel"/>
    <w:tmpl w:val="C2D8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626680"/>
    <w:multiLevelType w:val="multilevel"/>
    <w:tmpl w:val="043A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864ADC"/>
    <w:multiLevelType w:val="hybridMultilevel"/>
    <w:tmpl w:val="1D10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7B7F5B"/>
    <w:multiLevelType w:val="hybridMultilevel"/>
    <w:tmpl w:val="91E6B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C47BBD"/>
    <w:multiLevelType w:val="hybridMultilevel"/>
    <w:tmpl w:val="9CC23B90"/>
    <w:lvl w:ilvl="0" w:tplc="2264C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E83E47"/>
    <w:multiLevelType w:val="multilevel"/>
    <w:tmpl w:val="DF9CED3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6B4308D"/>
    <w:multiLevelType w:val="hybridMultilevel"/>
    <w:tmpl w:val="088C51CE"/>
    <w:lvl w:ilvl="0" w:tplc="E7DEAD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D28B5"/>
    <w:multiLevelType w:val="hybridMultilevel"/>
    <w:tmpl w:val="D946FF5A"/>
    <w:lvl w:ilvl="0" w:tplc="4E3850B0">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2F5105"/>
    <w:multiLevelType w:val="hybridMultilevel"/>
    <w:tmpl w:val="A10CC224"/>
    <w:lvl w:ilvl="0" w:tplc="2264C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B87A97"/>
    <w:multiLevelType w:val="hybridMultilevel"/>
    <w:tmpl w:val="54860AA0"/>
    <w:lvl w:ilvl="0" w:tplc="D71623AE">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03328E"/>
    <w:multiLevelType w:val="hybridMultilevel"/>
    <w:tmpl w:val="5C42D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F92A6C"/>
    <w:multiLevelType w:val="hybridMultilevel"/>
    <w:tmpl w:val="74427790"/>
    <w:lvl w:ilvl="0" w:tplc="229038E6">
      <w:start w:val="1"/>
      <w:numFmt w:val="decimal"/>
      <w:suff w:val="space"/>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A74F11"/>
    <w:multiLevelType w:val="multilevel"/>
    <w:tmpl w:val="20B6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0322C4"/>
    <w:multiLevelType w:val="hybridMultilevel"/>
    <w:tmpl w:val="BDA87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C903D09"/>
    <w:multiLevelType w:val="hybridMultilevel"/>
    <w:tmpl w:val="8384E1BC"/>
    <w:lvl w:ilvl="0" w:tplc="35C077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F15BBA"/>
    <w:multiLevelType w:val="hybridMultilevel"/>
    <w:tmpl w:val="1FF68372"/>
    <w:lvl w:ilvl="0" w:tplc="229038E6">
      <w:start w:val="1"/>
      <w:numFmt w:val="decimal"/>
      <w:suff w:val="space"/>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DB2449"/>
    <w:multiLevelType w:val="hybridMultilevel"/>
    <w:tmpl w:val="B706FA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793004"/>
    <w:multiLevelType w:val="multilevel"/>
    <w:tmpl w:val="6C9A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E14F1B"/>
    <w:multiLevelType w:val="hybridMultilevel"/>
    <w:tmpl w:val="F77E1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C27E82"/>
    <w:multiLevelType w:val="multilevel"/>
    <w:tmpl w:val="2C30A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F19247D"/>
    <w:multiLevelType w:val="multilevel"/>
    <w:tmpl w:val="3582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num>
  <w:num w:numId="3">
    <w:abstractNumId w:val="28"/>
  </w:num>
  <w:num w:numId="4">
    <w:abstractNumId w:val="6"/>
  </w:num>
  <w:num w:numId="5">
    <w:abstractNumId w:val="2"/>
  </w:num>
  <w:num w:numId="6">
    <w:abstractNumId w:val="29"/>
  </w:num>
  <w:num w:numId="7">
    <w:abstractNumId w:val="27"/>
  </w:num>
  <w:num w:numId="8">
    <w:abstractNumId w:val="25"/>
  </w:num>
  <w:num w:numId="9">
    <w:abstractNumId w:val="4"/>
  </w:num>
  <w:num w:numId="10">
    <w:abstractNumId w:val="32"/>
  </w:num>
  <w:num w:numId="11">
    <w:abstractNumId w:val="30"/>
  </w:num>
  <w:num w:numId="12">
    <w:abstractNumId w:val="10"/>
  </w:num>
  <w:num w:numId="13">
    <w:abstractNumId w:val="23"/>
  </w:num>
  <w:num w:numId="14">
    <w:abstractNumId w:val="17"/>
  </w:num>
  <w:num w:numId="15">
    <w:abstractNumId w:val="21"/>
  </w:num>
  <w:num w:numId="16">
    <w:abstractNumId w:val="12"/>
  </w:num>
  <w:num w:numId="17">
    <w:abstractNumId w:val="22"/>
  </w:num>
  <w:num w:numId="18">
    <w:abstractNumId w:val="18"/>
  </w:num>
  <w:num w:numId="19">
    <w:abstractNumId w:val="3"/>
  </w:num>
  <w:num w:numId="20">
    <w:abstractNumId w:val="0"/>
  </w:num>
  <w:num w:numId="21">
    <w:abstractNumId w:val="14"/>
  </w:num>
  <w:num w:numId="22">
    <w:abstractNumId w:val="19"/>
  </w:num>
  <w:num w:numId="23">
    <w:abstractNumId w:val="20"/>
  </w:num>
  <w:num w:numId="24">
    <w:abstractNumId w:val="5"/>
  </w:num>
  <w:num w:numId="25">
    <w:abstractNumId w:val="8"/>
  </w:num>
  <w:num w:numId="26">
    <w:abstractNumId w:val="33"/>
  </w:num>
  <w:num w:numId="27">
    <w:abstractNumId w:val="7"/>
  </w:num>
  <w:num w:numId="28">
    <w:abstractNumId w:val="15"/>
  </w:num>
  <w:num w:numId="29">
    <w:abstractNumId w:val="9"/>
  </w:num>
  <w:num w:numId="30">
    <w:abstractNumId w:val="13"/>
  </w:num>
  <w:num w:numId="31">
    <w:abstractNumId w:val="11"/>
  </w:num>
  <w:num w:numId="32">
    <w:abstractNumId w:val="31"/>
  </w:num>
  <w:num w:numId="33">
    <w:abstractNumId w:val="34"/>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8096A"/>
    <w:rsid w:val="000F2791"/>
    <w:rsid w:val="001D0790"/>
    <w:rsid w:val="001F7184"/>
    <w:rsid w:val="0021071B"/>
    <w:rsid w:val="00235939"/>
    <w:rsid w:val="003605C9"/>
    <w:rsid w:val="00377F10"/>
    <w:rsid w:val="003C20BA"/>
    <w:rsid w:val="003E39E0"/>
    <w:rsid w:val="003F471B"/>
    <w:rsid w:val="00482A42"/>
    <w:rsid w:val="004A648B"/>
    <w:rsid w:val="004B4EA9"/>
    <w:rsid w:val="005B7683"/>
    <w:rsid w:val="005E1381"/>
    <w:rsid w:val="0061057C"/>
    <w:rsid w:val="0063742B"/>
    <w:rsid w:val="00682CE5"/>
    <w:rsid w:val="0080757B"/>
    <w:rsid w:val="00901C24"/>
    <w:rsid w:val="0091553C"/>
    <w:rsid w:val="009339AA"/>
    <w:rsid w:val="00936783"/>
    <w:rsid w:val="009C097F"/>
    <w:rsid w:val="009C4263"/>
    <w:rsid w:val="00A053E4"/>
    <w:rsid w:val="00A5437D"/>
    <w:rsid w:val="00A942E3"/>
    <w:rsid w:val="00BB37F0"/>
    <w:rsid w:val="00D157D0"/>
    <w:rsid w:val="00D8096A"/>
    <w:rsid w:val="00DD515D"/>
    <w:rsid w:val="00DE58BB"/>
    <w:rsid w:val="00E82465"/>
    <w:rsid w:val="00EC274A"/>
    <w:rsid w:val="00F0784E"/>
    <w:rsid w:val="00F55860"/>
    <w:rsid w:val="00F9202F"/>
    <w:rsid w:val="00F962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96A"/>
    <w:pPr>
      <w:spacing w:after="160" w:line="259" w:lineRule="auto"/>
    </w:pPr>
    <w:rPr>
      <w:lang w:val="en-CA"/>
    </w:rPr>
  </w:style>
  <w:style w:type="paragraph" w:styleId="Heading1">
    <w:name w:val="heading 1"/>
    <w:basedOn w:val="Normal"/>
    <w:next w:val="Normal"/>
    <w:link w:val="Heading1Char"/>
    <w:uiPriority w:val="9"/>
    <w:qFormat/>
    <w:rsid w:val="00D8096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D809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809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9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D809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6A"/>
    <w:rPr>
      <w:rFonts w:asciiTheme="majorHAnsi" w:eastAsiaTheme="majorEastAsia" w:hAnsiTheme="majorHAnsi" w:cstheme="majorBidi"/>
      <w:b/>
      <w:bCs/>
      <w:color w:val="345A8A" w:themeColor="accent1" w:themeShade="B5"/>
      <w:sz w:val="32"/>
      <w:szCs w:val="32"/>
      <w:lang w:val="en-CA"/>
    </w:rPr>
  </w:style>
  <w:style w:type="character" w:customStyle="1" w:styleId="Heading2Char">
    <w:name w:val="Heading 2 Char"/>
    <w:basedOn w:val="DefaultParagraphFont"/>
    <w:link w:val="Heading2"/>
    <w:uiPriority w:val="9"/>
    <w:semiHidden/>
    <w:rsid w:val="00D8096A"/>
    <w:rPr>
      <w:rFonts w:asciiTheme="majorHAnsi" w:eastAsiaTheme="majorEastAsia" w:hAnsiTheme="majorHAnsi" w:cstheme="majorBidi"/>
      <w:color w:val="365F91" w:themeColor="accent1" w:themeShade="BF"/>
      <w:sz w:val="26"/>
      <w:szCs w:val="26"/>
      <w:lang w:val="en-CA"/>
    </w:rPr>
  </w:style>
  <w:style w:type="character" w:customStyle="1" w:styleId="Heading3Char">
    <w:name w:val="Heading 3 Char"/>
    <w:basedOn w:val="DefaultParagraphFont"/>
    <w:link w:val="Heading3"/>
    <w:uiPriority w:val="9"/>
    <w:semiHidden/>
    <w:rsid w:val="00D8096A"/>
    <w:rPr>
      <w:rFonts w:asciiTheme="majorHAnsi" w:eastAsiaTheme="majorEastAsia" w:hAnsiTheme="majorHAnsi" w:cstheme="majorBidi"/>
      <w:b/>
      <w:bCs/>
      <w:color w:val="4F81BD" w:themeColor="accent1"/>
      <w:lang w:val="en-CA"/>
    </w:rPr>
  </w:style>
  <w:style w:type="character" w:customStyle="1" w:styleId="Heading4Char">
    <w:name w:val="Heading 4 Char"/>
    <w:basedOn w:val="DefaultParagraphFont"/>
    <w:link w:val="Heading4"/>
    <w:uiPriority w:val="9"/>
    <w:semiHidden/>
    <w:rsid w:val="00D8096A"/>
    <w:rPr>
      <w:rFonts w:asciiTheme="majorHAnsi" w:eastAsiaTheme="majorEastAsia" w:hAnsiTheme="majorHAnsi" w:cstheme="majorBidi"/>
      <w:b/>
      <w:bCs/>
      <w:i/>
      <w:iCs/>
      <w:color w:val="4F81BD" w:themeColor="accent1"/>
      <w:lang w:val="en-CA"/>
    </w:rPr>
  </w:style>
  <w:style w:type="character" w:customStyle="1" w:styleId="Heading6Char">
    <w:name w:val="Heading 6 Char"/>
    <w:basedOn w:val="DefaultParagraphFont"/>
    <w:link w:val="Heading6"/>
    <w:uiPriority w:val="9"/>
    <w:rsid w:val="00D8096A"/>
    <w:rPr>
      <w:rFonts w:asciiTheme="majorHAnsi" w:eastAsiaTheme="majorEastAsia" w:hAnsiTheme="majorHAnsi" w:cstheme="majorBidi"/>
      <w:color w:val="243F60" w:themeColor="accent1" w:themeShade="7F"/>
      <w:lang w:val="en-CA"/>
    </w:rPr>
  </w:style>
  <w:style w:type="character" w:styleId="Hyperlink">
    <w:name w:val="Hyperlink"/>
    <w:basedOn w:val="DefaultParagraphFont"/>
    <w:uiPriority w:val="99"/>
    <w:unhideWhenUsed/>
    <w:rsid w:val="00D8096A"/>
    <w:rPr>
      <w:color w:val="0000FF" w:themeColor="hyperlink"/>
      <w:u w:val="single"/>
    </w:rPr>
  </w:style>
  <w:style w:type="paragraph" w:styleId="ListParagraph">
    <w:name w:val="List Paragraph"/>
    <w:basedOn w:val="Normal"/>
    <w:uiPriority w:val="34"/>
    <w:qFormat/>
    <w:rsid w:val="00D8096A"/>
    <w:pPr>
      <w:ind w:left="720"/>
      <w:contextualSpacing/>
    </w:pPr>
  </w:style>
  <w:style w:type="paragraph" w:styleId="Header">
    <w:name w:val="header"/>
    <w:basedOn w:val="Normal"/>
    <w:link w:val="HeaderChar"/>
    <w:uiPriority w:val="99"/>
    <w:unhideWhenUsed/>
    <w:rsid w:val="00D80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96A"/>
    <w:rPr>
      <w:lang w:val="en-CA"/>
    </w:rPr>
  </w:style>
  <w:style w:type="paragraph" w:styleId="Footer">
    <w:name w:val="footer"/>
    <w:basedOn w:val="Normal"/>
    <w:link w:val="FooterChar"/>
    <w:uiPriority w:val="99"/>
    <w:unhideWhenUsed/>
    <w:rsid w:val="00D80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96A"/>
    <w:rPr>
      <w:lang w:val="en-CA"/>
    </w:rPr>
  </w:style>
  <w:style w:type="character" w:styleId="CommentReference">
    <w:name w:val="annotation reference"/>
    <w:basedOn w:val="DefaultParagraphFont"/>
    <w:uiPriority w:val="99"/>
    <w:semiHidden/>
    <w:unhideWhenUsed/>
    <w:rsid w:val="00D8096A"/>
    <w:rPr>
      <w:sz w:val="16"/>
      <w:szCs w:val="16"/>
    </w:rPr>
  </w:style>
  <w:style w:type="paragraph" w:styleId="CommentText">
    <w:name w:val="annotation text"/>
    <w:basedOn w:val="Normal"/>
    <w:link w:val="CommentTextChar"/>
    <w:uiPriority w:val="99"/>
    <w:semiHidden/>
    <w:unhideWhenUsed/>
    <w:rsid w:val="00D8096A"/>
    <w:pPr>
      <w:spacing w:line="240" w:lineRule="auto"/>
    </w:pPr>
    <w:rPr>
      <w:sz w:val="20"/>
      <w:szCs w:val="20"/>
    </w:rPr>
  </w:style>
  <w:style w:type="character" w:customStyle="1" w:styleId="CommentTextChar">
    <w:name w:val="Comment Text Char"/>
    <w:basedOn w:val="DefaultParagraphFont"/>
    <w:link w:val="CommentText"/>
    <w:uiPriority w:val="99"/>
    <w:semiHidden/>
    <w:rsid w:val="00D8096A"/>
    <w:rPr>
      <w:sz w:val="20"/>
      <w:szCs w:val="20"/>
      <w:lang w:val="en-CA"/>
    </w:rPr>
  </w:style>
  <w:style w:type="paragraph" w:styleId="CommentSubject">
    <w:name w:val="annotation subject"/>
    <w:basedOn w:val="CommentText"/>
    <w:next w:val="CommentText"/>
    <w:link w:val="CommentSubjectChar"/>
    <w:uiPriority w:val="99"/>
    <w:semiHidden/>
    <w:unhideWhenUsed/>
    <w:rsid w:val="00D8096A"/>
    <w:rPr>
      <w:b/>
      <w:bCs/>
    </w:rPr>
  </w:style>
  <w:style w:type="character" w:customStyle="1" w:styleId="CommentSubjectChar">
    <w:name w:val="Comment Subject Char"/>
    <w:basedOn w:val="CommentTextChar"/>
    <w:link w:val="CommentSubject"/>
    <w:uiPriority w:val="99"/>
    <w:semiHidden/>
    <w:rsid w:val="00D8096A"/>
    <w:rPr>
      <w:b/>
      <w:bCs/>
      <w:sz w:val="20"/>
      <w:szCs w:val="20"/>
      <w:lang w:val="en-CA"/>
    </w:rPr>
  </w:style>
  <w:style w:type="paragraph" w:styleId="BalloonText">
    <w:name w:val="Balloon Text"/>
    <w:basedOn w:val="Normal"/>
    <w:link w:val="BalloonTextChar"/>
    <w:uiPriority w:val="99"/>
    <w:semiHidden/>
    <w:unhideWhenUsed/>
    <w:rsid w:val="00D80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96A"/>
    <w:rPr>
      <w:rFonts w:ascii="Segoe UI" w:hAnsi="Segoe UI" w:cs="Segoe UI"/>
      <w:sz w:val="18"/>
      <w:szCs w:val="18"/>
      <w:lang w:val="en-CA"/>
    </w:rPr>
  </w:style>
  <w:style w:type="paragraph" w:styleId="Revision">
    <w:name w:val="Revision"/>
    <w:hidden/>
    <w:uiPriority w:val="99"/>
    <w:semiHidden/>
    <w:rsid w:val="00D8096A"/>
    <w:pPr>
      <w:spacing w:after="0" w:line="240" w:lineRule="auto"/>
    </w:pPr>
    <w:rPr>
      <w:lang w:val="en-CA"/>
    </w:rPr>
  </w:style>
  <w:style w:type="table" w:styleId="TableGrid">
    <w:name w:val="Table Grid"/>
    <w:basedOn w:val="TableNormal"/>
    <w:rsid w:val="00D8096A"/>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8096A"/>
    <w:pPr>
      <w:keepNext/>
      <w:spacing w:after="200" w:line="240" w:lineRule="auto"/>
    </w:pPr>
    <w:rPr>
      <w:rFonts w:asciiTheme="majorBidi" w:hAnsiTheme="majorBidi" w:cstheme="majorBidi"/>
      <w:b/>
      <w:bCs/>
      <w:sz w:val="24"/>
      <w:szCs w:val="24"/>
    </w:rPr>
  </w:style>
  <w:style w:type="paragraph" w:styleId="FootnoteText">
    <w:name w:val="footnote text"/>
    <w:basedOn w:val="Normal"/>
    <w:link w:val="FootnoteTextChar"/>
    <w:uiPriority w:val="99"/>
    <w:semiHidden/>
    <w:unhideWhenUsed/>
    <w:rsid w:val="00D80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96A"/>
    <w:rPr>
      <w:sz w:val="20"/>
      <w:szCs w:val="20"/>
      <w:lang w:val="en-CA"/>
    </w:rPr>
  </w:style>
  <w:style w:type="character" w:styleId="FootnoteReference">
    <w:name w:val="footnote reference"/>
    <w:basedOn w:val="DefaultParagraphFont"/>
    <w:uiPriority w:val="99"/>
    <w:semiHidden/>
    <w:unhideWhenUsed/>
    <w:rsid w:val="00D8096A"/>
    <w:rPr>
      <w:vertAlign w:val="superscript"/>
    </w:rPr>
  </w:style>
  <w:style w:type="character" w:customStyle="1" w:styleId="UnresolvedMention1">
    <w:name w:val="Unresolved Mention1"/>
    <w:basedOn w:val="DefaultParagraphFont"/>
    <w:uiPriority w:val="99"/>
    <w:semiHidden/>
    <w:unhideWhenUsed/>
    <w:rsid w:val="00D8096A"/>
    <w:rPr>
      <w:color w:val="605E5C"/>
      <w:shd w:val="clear" w:color="auto" w:fill="E1DFDD"/>
    </w:rPr>
  </w:style>
  <w:style w:type="character" w:styleId="PageNumber">
    <w:name w:val="page number"/>
    <w:basedOn w:val="DefaultParagraphFont"/>
    <w:uiPriority w:val="99"/>
    <w:semiHidden/>
    <w:unhideWhenUsed/>
    <w:rsid w:val="00D8096A"/>
  </w:style>
  <w:style w:type="character" w:customStyle="1" w:styleId="UnresolvedMention2">
    <w:name w:val="Unresolved Mention2"/>
    <w:basedOn w:val="DefaultParagraphFont"/>
    <w:uiPriority w:val="99"/>
    <w:semiHidden/>
    <w:unhideWhenUsed/>
    <w:rsid w:val="00D8096A"/>
    <w:rPr>
      <w:color w:val="605E5C"/>
      <w:shd w:val="clear" w:color="auto" w:fill="E1DFDD"/>
    </w:rPr>
  </w:style>
  <w:style w:type="character" w:customStyle="1" w:styleId="None">
    <w:name w:val="None"/>
    <w:rsid w:val="00D8096A"/>
  </w:style>
  <w:style w:type="table" w:customStyle="1" w:styleId="TableGrid1">
    <w:name w:val="Table Grid1"/>
    <w:basedOn w:val="TableNormal"/>
    <w:next w:val="TableGrid"/>
    <w:uiPriority w:val="39"/>
    <w:rsid w:val="00D8096A"/>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51">
    <w:name w:val="Medium Shading 2 - Accent 51"/>
    <w:basedOn w:val="TableNormal"/>
    <w:next w:val="MediumShading2-Accent5"/>
    <w:uiPriority w:val="64"/>
    <w:rsid w:val="00D8096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D8096A"/>
    <w:pPr>
      <w:spacing w:after="0" w:line="240" w:lineRule="auto"/>
    </w:pPr>
    <w:rPr>
      <w:lang w:val="en-C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7">
    <w:name w:val="Table Grid7"/>
    <w:basedOn w:val="TableNormal"/>
    <w:next w:val="TableGrid"/>
    <w:uiPriority w:val="39"/>
    <w:rsid w:val="00D80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D8096A"/>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D8096A"/>
    <w:rPr>
      <w:rFonts w:ascii="Times New Roman" w:hAnsi="Times New Roman" w:cs="Times New Roman"/>
      <w:noProof/>
      <w:sz w:val="24"/>
    </w:rPr>
  </w:style>
  <w:style w:type="paragraph" w:customStyle="1" w:styleId="EndNoteBibliography">
    <w:name w:val="EndNote Bibliography"/>
    <w:basedOn w:val="Normal"/>
    <w:link w:val="EndNoteBibliographyChar"/>
    <w:rsid w:val="00D8096A"/>
    <w:pPr>
      <w:spacing w:line="480" w:lineRule="auto"/>
      <w:jc w:val="both"/>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D8096A"/>
    <w:rPr>
      <w:rFonts w:ascii="Times New Roman" w:hAnsi="Times New Roman" w:cs="Times New Roman"/>
      <w:noProof/>
      <w:sz w:val="24"/>
    </w:rPr>
  </w:style>
  <w:style w:type="table" w:customStyle="1" w:styleId="TableGrid2">
    <w:name w:val="Table Grid2"/>
    <w:basedOn w:val="TableNormal"/>
    <w:next w:val="TableGrid"/>
    <w:uiPriority w:val="59"/>
    <w:rsid w:val="00D8096A"/>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8096A"/>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D8096A"/>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D8096A"/>
    <w:rPr>
      <w:rFonts w:ascii="Times New Roman" w:eastAsia="Times New Roman" w:hAnsi="Times New Roman" w:cs="Times New Roman"/>
      <w:sz w:val="28"/>
      <w:szCs w:val="28"/>
    </w:rPr>
  </w:style>
  <w:style w:type="paragraph" w:styleId="Subtitle">
    <w:name w:val="Subtitle"/>
    <w:basedOn w:val="Normal"/>
    <w:next w:val="Normal"/>
    <w:link w:val="SubtitleChar"/>
    <w:uiPriority w:val="11"/>
    <w:qFormat/>
    <w:rsid w:val="00D8096A"/>
    <w:pPr>
      <w:widowControl w:val="0"/>
      <w:autoSpaceDE w:val="0"/>
      <w:autoSpaceDN w:val="0"/>
      <w:adjustRightInd w:val="0"/>
      <w:spacing w:after="0" w:line="480" w:lineRule="auto"/>
      <w:jc w:val="both"/>
    </w:pPr>
    <w:rPr>
      <w:rFonts w:asciiTheme="majorBidi" w:eastAsia="Calibri" w:hAnsiTheme="majorBidi" w:cstheme="majorBidi"/>
      <w:sz w:val="24"/>
      <w:szCs w:val="24"/>
      <w:lang w:val="en-US"/>
    </w:rPr>
  </w:style>
  <w:style w:type="character" w:customStyle="1" w:styleId="SubtitleChar">
    <w:name w:val="Subtitle Char"/>
    <w:basedOn w:val="DefaultParagraphFont"/>
    <w:link w:val="Subtitle"/>
    <w:uiPriority w:val="11"/>
    <w:rsid w:val="00D8096A"/>
    <w:rPr>
      <w:rFonts w:asciiTheme="majorBidi" w:eastAsia="Calibri" w:hAnsiTheme="majorBidi" w:cstheme="majorBidi"/>
      <w:sz w:val="24"/>
      <w:szCs w:val="24"/>
    </w:rPr>
  </w:style>
  <w:style w:type="paragraph" w:styleId="NormalWeb">
    <w:name w:val="Normal (Web)"/>
    <w:basedOn w:val="Normal"/>
    <w:uiPriority w:val="99"/>
    <w:unhideWhenUsed/>
    <w:rsid w:val="00D8096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96A"/>
    <w:pPr>
      <w:spacing w:after="160" w:line="259" w:lineRule="auto"/>
    </w:pPr>
    <w:rPr>
      <w:lang w:val="en-CA"/>
    </w:rPr>
  </w:style>
  <w:style w:type="paragraph" w:styleId="Heading1">
    <w:name w:val="heading 1"/>
    <w:basedOn w:val="Normal"/>
    <w:next w:val="Normal"/>
    <w:link w:val="Heading1Char"/>
    <w:uiPriority w:val="9"/>
    <w:qFormat/>
    <w:rsid w:val="00D8096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D809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809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9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D809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6A"/>
    <w:rPr>
      <w:rFonts w:asciiTheme="majorHAnsi" w:eastAsiaTheme="majorEastAsia" w:hAnsiTheme="majorHAnsi" w:cstheme="majorBidi"/>
      <w:b/>
      <w:bCs/>
      <w:color w:val="345A8A" w:themeColor="accent1" w:themeShade="B5"/>
      <w:sz w:val="32"/>
      <w:szCs w:val="32"/>
      <w:lang w:val="en-CA"/>
    </w:rPr>
  </w:style>
  <w:style w:type="character" w:customStyle="1" w:styleId="Heading2Char">
    <w:name w:val="Heading 2 Char"/>
    <w:basedOn w:val="DefaultParagraphFont"/>
    <w:link w:val="Heading2"/>
    <w:uiPriority w:val="9"/>
    <w:semiHidden/>
    <w:rsid w:val="00D8096A"/>
    <w:rPr>
      <w:rFonts w:asciiTheme="majorHAnsi" w:eastAsiaTheme="majorEastAsia" w:hAnsiTheme="majorHAnsi" w:cstheme="majorBidi"/>
      <w:color w:val="365F91" w:themeColor="accent1" w:themeShade="BF"/>
      <w:sz w:val="26"/>
      <w:szCs w:val="26"/>
      <w:lang w:val="en-CA"/>
    </w:rPr>
  </w:style>
  <w:style w:type="character" w:customStyle="1" w:styleId="Heading3Char">
    <w:name w:val="Heading 3 Char"/>
    <w:basedOn w:val="DefaultParagraphFont"/>
    <w:link w:val="Heading3"/>
    <w:uiPriority w:val="9"/>
    <w:semiHidden/>
    <w:rsid w:val="00D8096A"/>
    <w:rPr>
      <w:rFonts w:asciiTheme="majorHAnsi" w:eastAsiaTheme="majorEastAsia" w:hAnsiTheme="majorHAnsi" w:cstheme="majorBidi"/>
      <w:b/>
      <w:bCs/>
      <w:color w:val="4F81BD" w:themeColor="accent1"/>
      <w:lang w:val="en-CA"/>
    </w:rPr>
  </w:style>
  <w:style w:type="character" w:customStyle="1" w:styleId="Heading4Char">
    <w:name w:val="Heading 4 Char"/>
    <w:basedOn w:val="DefaultParagraphFont"/>
    <w:link w:val="Heading4"/>
    <w:uiPriority w:val="9"/>
    <w:semiHidden/>
    <w:rsid w:val="00D8096A"/>
    <w:rPr>
      <w:rFonts w:asciiTheme="majorHAnsi" w:eastAsiaTheme="majorEastAsia" w:hAnsiTheme="majorHAnsi" w:cstheme="majorBidi"/>
      <w:b/>
      <w:bCs/>
      <w:i/>
      <w:iCs/>
      <w:color w:val="4F81BD" w:themeColor="accent1"/>
      <w:lang w:val="en-CA"/>
    </w:rPr>
  </w:style>
  <w:style w:type="character" w:customStyle="1" w:styleId="Heading6Char">
    <w:name w:val="Heading 6 Char"/>
    <w:basedOn w:val="DefaultParagraphFont"/>
    <w:link w:val="Heading6"/>
    <w:uiPriority w:val="9"/>
    <w:rsid w:val="00D8096A"/>
    <w:rPr>
      <w:rFonts w:asciiTheme="majorHAnsi" w:eastAsiaTheme="majorEastAsia" w:hAnsiTheme="majorHAnsi" w:cstheme="majorBidi"/>
      <w:color w:val="243F60" w:themeColor="accent1" w:themeShade="7F"/>
      <w:lang w:val="en-CA"/>
    </w:rPr>
  </w:style>
  <w:style w:type="character" w:styleId="Hyperlink">
    <w:name w:val="Hyperlink"/>
    <w:basedOn w:val="DefaultParagraphFont"/>
    <w:uiPriority w:val="99"/>
    <w:unhideWhenUsed/>
    <w:rsid w:val="00D8096A"/>
    <w:rPr>
      <w:color w:val="0000FF" w:themeColor="hyperlink"/>
      <w:u w:val="single"/>
    </w:rPr>
  </w:style>
  <w:style w:type="paragraph" w:styleId="ListParagraph">
    <w:name w:val="List Paragraph"/>
    <w:basedOn w:val="Normal"/>
    <w:uiPriority w:val="34"/>
    <w:qFormat/>
    <w:rsid w:val="00D8096A"/>
    <w:pPr>
      <w:ind w:left="720"/>
      <w:contextualSpacing/>
    </w:pPr>
  </w:style>
  <w:style w:type="paragraph" w:styleId="Header">
    <w:name w:val="header"/>
    <w:basedOn w:val="Normal"/>
    <w:link w:val="HeaderChar"/>
    <w:uiPriority w:val="99"/>
    <w:unhideWhenUsed/>
    <w:rsid w:val="00D80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96A"/>
    <w:rPr>
      <w:lang w:val="en-CA"/>
    </w:rPr>
  </w:style>
  <w:style w:type="paragraph" w:styleId="Footer">
    <w:name w:val="footer"/>
    <w:basedOn w:val="Normal"/>
    <w:link w:val="FooterChar"/>
    <w:uiPriority w:val="99"/>
    <w:unhideWhenUsed/>
    <w:rsid w:val="00D80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96A"/>
    <w:rPr>
      <w:lang w:val="en-CA"/>
    </w:rPr>
  </w:style>
  <w:style w:type="character" w:styleId="CommentReference">
    <w:name w:val="annotation reference"/>
    <w:basedOn w:val="DefaultParagraphFont"/>
    <w:uiPriority w:val="99"/>
    <w:semiHidden/>
    <w:unhideWhenUsed/>
    <w:rsid w:val="00D8096A"/>
    <w:rPr>
      <w:sz w:val="16"/>
      <w:szCs w:val="16"/>
    </w:rPr>
  </w:style>
  <w:style w:type="paragraph" w:styleId="CommentText">
    <w:name w:val="annotation text"/>
    <w:basedOn w:val="Normal"/>
    <w:link w:val="CommentTextChar"/>
    <w:uiPriority w:val="99"/>
    <w:semiHidden/>
    <w:unhideWhenUsed/>
    <w:rsid w:val="00D8096A"/>
    <w:pPr>
      <w:spacing w:line="240" w:lineRule="auto"/>
    </w:pPr>
    <w:rPr>
      <w:sz w:val="20"/>
      <w:szCs w:val="20"/>
    </w:rPr>
  </w:style>
  <w:style w:type="character" w:customStyle="1" w:styleId="CommentTextChar">
    <w:name w:val="Comment Text Char"/>
    <w:basedOn w:val="DefaultParagraphFont"/>
    <w:link w:val="CommentText"/>
    <w:uiPriority w:val="99"/>
    <w:semiHidden/>
    <w:rsid w:val="00D8096A"/>
    <w:rPr>
      <w:sz w:val="20"/>
      <w:szCs w:val="20"/>
      <w:lang w:val="en-CA"/>
    </w:rPr>
  </w:style>
  <w:style w:type="paragraph" w:styleId="CommentSubject">
    <w:name w:val="annotation subject"/>
    <w:basedOn w:val="CommentText"/>
    <w:next w:val="CommentText"/>
    <w:link w:val="CommentSubjectChar"/>
    <w:uiPriority w:val="99"/>
    <w:semiHidden/>
    <w:unhideWhenUsed/>
    <w:rsid w:val="00D8096A"/>
    <w:rPr>
      <w:b/>
      <w:bCs/>
    </w:rPr>
  </w:style>
  <w:style w:type="character" w:customStyle="1" w:styleId="CommentSubjectChar">
    <w:name w:val="Comment Subject Char"/>
    <w:basedOn w:val="CommentTextChar"/>
    <w:link w:val="CommentSubject"/>
    <w:uiPriority w:val="99"/>
    <w:semiHidden/>
    <w:rsid w:val="00D8096A"/>
    <w:rPr>
      <w:b/>
      <w:bCs/>
      <w:sz w:val="20"/>
      <w:szCs w:val="20"/>
      <w:lang w:val="en-CA"/>
    </w:rPr>
  </w:style>
  <w:style w:type="paragraph" w:styleId="BalloonText">
    <w:name w:val="Balloon Text"/>
    <w:basedOn w:val="Normal"/>
    <w:link w:val="BalloonTextChar"/>
    <w:uiPriority w:val="99"/>
    <w:semiHidden/>
    <w:unhideWhenUsed/>
    <w:rsid w:val="00D80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96A"/>
    <w:rPr>
      <w:rFonts w:ascii="Segoe UI" w:hAnsi="Segoe UI" w:cs="Segoe UI"/>
      <w:sz w:val="18"/>
      <w:szCs w:val="18"/>
      <w:lang w:val="en-CA"/>
    </w:rPr>
  </w:style>
  <w:style w:type="paragraph" w:styleId="Revision">
    <w:name w:val="Revision"/>
    <w:hidden/>
    <w:uiPriority w:val="99"/>
    <w:semiHidden/>
    <w:rsid w:val="00D8096A"/>
    <w:pPr>
      <w:spacing w:after="0" w:line="240" w:lineRule="auto"/>
    </w:pPr>
    <w:rPr>
      <w:lang w:val="en-CA"/>
    </w:rPr>
  </w:style>
  <w:style w:type="table" w:styleId="TableGrid">
    <w:name w:val="Table Grid"/>
    <w:basedOn w:val="TableNormal"/>
    <w:rsid w:val="00D8096A"/>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8096A"/>
    <w:pPr>
      <w:keepNext/>
      <w:spacing w:after="200" w:line="240" w:lineRule="auto"/>
    </w:pPr>
    <w:rPr>
      <w:rFonts w:asciiTheme="majorBidi" w:hAnsiTheme="majorBidi" w:cstheme="majorBidi"/>
      <w:b/>
      <w:bCs/>
      <w:sz w:val="24"/>
      <w:szCs w:val="24"/>
    </w:rPr>
  </w:style>
  <w:style w:type="paragraph" w:styleId="FootnoteText">
    <w:name w:val="footnote text"/>
    <w:basedOn w:val="Normal"/>
    <w:link w:val="FootnoteTextChar"/>
    <w:uiPriority w:val="99"/>
    <w:semiHidden/>
    <w:unhideWhenUsed/>
    <w:rsid w:val="00D80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96A"/>
    <w:rPr>
      <w:sz w:val="20"/>
      <w:szCs w:val="20"/>
      <w:lang w:val="en-CA"/>
    </w:rPr>
  </w:style>
  <w:style w:type="character" w:styleId="FootnoteReference">
    <w:name w:val="footnote reference"/>
    <w:basedOn w:val="DefaultParagraphFont"/>
    <w:uiPriority w:val="99"/>
    <w:semiHidden/>
    <w:unhideWhenUsed/>
    <w:rsid w:val="00D8096A"/>
    <w:rPr>
      <w:vertAlign w:val="superscript"/>
    </w:rPr>
  </w:style>
  <w:style w:type="character" w:customStyle="1" w:styleId="UnresolvedMention1">
    <w:name w:val="Unresolved Mention1"/>
    <w:basedOn w:val="DefaultParagraphFont"/>
    <w:uiPriority w:val="99"/>
    <w:semiHidden/>
    <w:unhideWhenUsed/>
    <w:rsid w:val="00D8096A"/>
    <w:rPr>
      <w:color w:val="605E5C"/>
      <w:shd w:val="clear" w:color="auto" w:fill="E1DFDD"/>
    </w:rPr>
  </w:style>
  <w:style w:type="character" w:styleId="PageNumber">
    <w:name w:val="page number"/>
    <w:basedOn w:val="DefaultParagraphFont"/>
    <w:uiPriority w:val="99"/>
    <w:semiHidden/>
    <w:unhideWhenUsed/>
    <w:rsid w:val="00D8096A"/>
  </w:style>
  <w:style w:type="character" w:customStyle="1" w:styleId="UnresolvedMention2">
    <w:name w:val="Unresolved Mention2"/>
    <w:basedOn w:val="DefaultParagraphFont"/>
    <w:uiPriority w:val="99"/>
    <w:semiHidden/>
    <w:unhideWhenUsed/>
    <w:rsid w:val="00D8096A"/>
    <w:rPr>
      <w:color w:val="605E5C"/>
      <w:shd w:val="clear" w:color="auto" w:fill="E1DFDD"/>
    </w:rPr>
  </w:style>
  <w:style w:type="character" w:customStyle="1" w:styleId="None">
    <w:name w:val="None"/>
    <w:rsid w:val="00D8096A"/>
  </w:style>
  <w:style w:type="table" w:customStyle="1" w:styleId="TableGrid1">
    <w:name w:val="Table Grid1"/>
    <w:basedOn w:val="TableNormal"/>
    <w:next w:val="TableGrid"/>
    <w:uiPriority w:val="39"/>
    <w:rsid w:val="00D8096A"/>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51">
    <w:name w:val="Medium Shading 2 - Accent 51"/>
    <w:basedOn w:val="TableNormal"/>
    <w:next w:val="MediumShading2-Accent5"/>
    <w:uiPriority w:val="64"/>
    <w:rsid w:val="00D8096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D8096A"/>
    <w:pPr>
      <w:spacing w:after="0" w:line="240" w:lineRule="auto"/>
    </w:pPr>
    <w:rPr>
      <w:lang w:val="en-C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7">
    <w:name w:val="Table Grid7"/>
    <w:basedOn w:val="TableNormal"/>
    <w:next w:val="TableGrid"/>
    <w:uiPriority w:val="39"/>
    <w:rsid w:val="00D80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D8096A"/>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D8096A"/>
    <w:rPr>
      <w:rFonts w:ascii="Times New Roman" w:hAnsi="Times New Roman" w:cs="Times New Roman"/>
      <w:noProof/>
      <w:sz w:val="24"/>
    </w:rPr>
  </w:style>
  <w:style w:type="paragraph" w:customStyle="1" w:styleId="EndNoteBibliography">
    <w:name w:val="EndNote Bibliography"/>
    <w:basedOn w:val="Normal"/>
    <w:link w:val="EndNoteBibliographyChar"/>
    <w:rsid w:val="00D8096A"/>
    <w:pPr>
      <w:spacing w:line="480" w:lineRule="auto"/>
      <w:jc w:val="both"/>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D8096A"/>
    <w:rPr>
      <w:rFonts w:ascii="Times New Roman" w:hAnsi="Times New Roman" w:cs="Times New Roman"/>
      <w:noProof/>
      <w:sz w:val="24"/>
    </w:rPr>
  </w:style>
  <w:style w:type="table" w:customStyle="1" w:styleId="TableGrid2">
    <w:name w:val="Table Grid2"/>
    <w:basedOn w:val="TableNormal"/>
    <w:next w:val="TableGrid"/>
    <w:uiPriority w:val="59"/>
    <w:rsid w:val="00D8096A"/>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8096A"/>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D8096A"/>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D8096A"/>
    <w:rPr>
      <w:rFonts w:ascii="Times New Roman" w:eastAsia="Times New Roman" w:hAnsi="Times New Roman" w:cs="Times New Roman"/>
      <w:sz w:val="28"/>
      <w:szCs w:val="28"/>
    </w:rPr>
  </w:style>
  <w:style w:type="paragraph" w:styleId="Subtitle">
    <w:name w:val="Subtitle"/>
    <w:basedOn w:val="Normal"/>
    <w:next w:val="Normal"/>
    <w:link w:val="SubtitleChar"/>
    <w:uiPriority w:val="11"/>
    <w:qFormat/>
    <w:rsid w:val="00D8096A"/>
    <w:pPr>
      <w:widowControl w:val="0"/>
      <w:autoSpaceDE w:val="0"/>
      <w:autoSpaceDN w:val="0"/>
      <w:adjustRightInd w:val="0"/>
      <w:spacing w:after="0" w:line="480" w:lineRule="auto"/>
      <w:jc w:val="both"/>
    </w:pPr>
    <w:rPr>
      <w:rFonts w:asciiTheme="majorBidi" w:eastAsia="Calibri" w:hAnsiTheme="majorBidi" w:cstheme="majorBidi"/>
      <w:sz w:val="24"/>
      <w:szCs w:val="24"/>
      <w:lang w:val="en-US"/>
    </w:rPr>
  </w:style>
  <w:style w:type="character" w:customStyle="1" w:styleId="SubtitleChar">
    <w:name w:val="Subtitle Char"/>
    <w:basedOn w:val="DefaultParagraphFont"/>
    <w:link w:val="Subtitle"/>
    <w:uiPriority w:val="11"/>
    <w:rsid w:val="00D8096A"/>
    <w:rPr>
      <w:rFonts w:asciiTheme="majorBidi" w:eastAsia="Calibri" w:hAnsiTheme="majorBidi" w:cstheme="majorBidi"/>
      <w:sz w:val="24"/>
      <w:szCs w:val="24"/>
    </w:rPr>
  </w:style>
  <w:style w:type="paragraph" w:styleId="NormalWeb">
    <w:name w:val="Normal (Web)"/>
    <w:basedOn w:val="Normal"/>
    <w:uiPriority w:val="99"/>
    <w:unhideWhenUsed/>
    <w:rsid w:val="00D8096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0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4080</Words>
  <Characters>23258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Wld-Otiba</Company>
  <LinksUpToDate>false</LinksUpToDate>
  <CharactersWithSpaces>27284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c.delivery for lap</dc:creator>
  <cp:lastModifiedBy>Noran Hasan</cp:lastModifiedBy>
  <cp:revision>2</cp:revision>
  <dcterms:created xsi:type="dcterms:W3CDTF">2025-07-28T01:11:00Z</dcterms:created>
  <dcterms:modified xsi:type="dcterms:W3CDTF">2025-07-28T01:11:00Z</dcterms:modified>
</cp:coreProperties>
</file>