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D7" w:rsidRDefault="00E96DD7" w:rsidP="00E96DD7">
      <w:pPr>
        <w:widowControl/>
        <w:autoSpaceDE/>
        <w:spacing w:before="240"/>
        <w:ind w:left="-426" w:right="-426"/>
        <w:jc w:val="center"/>
        <w:rPr>
          <w:rFonts w:ascii="Impact" w:hAnsi="Impact"/>
          <w:color w:val="000080"/>
          <w:sz w:val="48"/>
          <w:szCs w:val="48"/>
        </w:rPr>
      </w:pPr>
      <w:r w:rsidRPr="00132C6B">
        <w:rPr>
          <w:rFonts w:ascii="Impact" w:hAnsi="Impact"/>
          <w:color w:val="000080"/>
          <w:sz w:val="48"/>
          <w:szCs w:val="48"/>
        </w:rPr>
        <w:t>Endoscopic approaches to the maxillary sinus: A comparative study</w:t>
      </w:r>
    </w:p>
    <w:p w:rsidR="00E96DD7" w:rsidRPr="00132C6B" w:rsidRDefault="00E96DD7" w:rsidP="00E96DD7">
      <w:pPr>
        <w:widowControl/>
        <w:autoSpaceDE/>
        <w:spacing w:before="240"/>
        <w:ind w:left="-426" w:right="-426"/>
        <w:rPr>
          <w:rFonts w:ascii="Impact" w:hAnsi="Impact"/>
          <w:color w:val="000080"/>
          <w:sz w:val="36"/>
          <w:szCs w:val="36"/>
        </w:rPr>
      </w:pPr>
      <w:proofErr w:type="spellStart"/>
      <w:r w:rsidRPr="00132C6B">
        <w:rPr>
          <w:rFonts w:ascii="Impact" w:hAnsi="Impact"/>
          <w:color w:val="000080"/>
          <w:sz w:val="36"/>
          <w:szCs w:val="36"/>
        </w:rPr>
        <w:t>Shimaa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 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Ibrahem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 Mohammed</w:t>
      </w:r>
      <w:r>
        <w:rPr>
          <w:rFonts w:ascii="Impact" w:hAnsi="Impact"/>
          <w:color w:val="000080"/>
          <w:sz w:val="36"/>
          <w:szCs w:val="36"/>
        </w:rPr>
        <w:t xml:space="preserve">, </w:t>
      </w:r>
      <w:r w:rsidRPr="00132C6B">
        <w:rPr>
          <w:rFonts w:ascii="Impact" w:hAnsi="Impact"/>
          <w:color w:val="000080"/>
          <w:sz w:val="36"/>
          <w:szCs w:val="36"/>
        </w:rPr>
        <w:t xml:space="preserve">Ahmed Ali 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Ibrahem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, Ahmad 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Abd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 el-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Aleem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 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Abd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 el-</w:t>
      </w:r>
      <w:proofErr w:type="spellStart"/>
      <w:r w:rsidRPr="00132C6B">
        <w:rPr>
          <w:rFonts w:ascii="Impact" w:hAnsi="Impact"/>
          <w:color w:val="000080"/>
          <w:sz w:val="36"/>
          <w:szCs w:val="36"/>
        </w:rPr>
        <w:t>Wahab</w:t>
      </w:r>
      <w:proofErr w:type="spellEnd"/>
      <w:r w:rsidRPr="00132C6B">
        <w:rPr>
          <w:rFonts w:ascii="Impact" w:hAnsi="Impact"/>
          <w:color w:val="000080"/>
          <w:sz w:val="36"/>
          <w:szCs w:val="36"/>
        </w:rPr>
        <w:t xml:space="preserve">,  </w:t>
      </w:r>
      <w:r>
        <w:rPr>
          <w:rFonts w:ascii="Impact" w:hAnsi="Impact"/>
          <w:color w:val="000080"/>
          <w:sz w:val="36"/>
          <w:szCs w:val="36"/>
        </w:rPr>
        <w:t xml:space="preserve"> </w:t>
      </w:r>
      <w:hyperlink r:id="rId5" w:tooltip=" Click here to view my c.v" w:history="1">
        <w:r w:rsidRPr="00132C6B">
          <w:rPr>
            <w:rStyle w:val="Hyperlink"/>
            <w:rFonts w:ascii="Impact" w:hAnsi="Impact"/>
            <w:color w:val="000080"/>
            <w:sz w:val="36"/>
            <w:szCs w:val="36"/>
          </w:rPr>
          <w:t>Mohamed</w:t>
        </w:r>
      </w:hyperlink>
      <w:r w:rsidRPr="00132C6B">
        <w:rPr>
          <w:rFonts w:ascii="Impact" w:hAnsi="Impact"/>
          <w:color w:val="000080"/>
          <w:sz w:val="36"/>
          <w:szCs w:val="36"/>
        </w:rPr>
        <w:t xml:space="preserve"> Omar Ahmed Gad</w:t>
      </w:r>
      <w:r>
        <w:rPr>
          <w:rFonts w:ascii="Impact" w:hAnsi="Impact"/>
          <w:color w:val="000080"/>
          <w:sz w:val="36"/>
          <w:szCs w:val="36"/>
        </w:rPr>
        <w:t xml:space="preserve">, Ashraf </w:t>
      </w:r>
      <w:proofErr w:type="spellStart"/>
      <w:r>
        <w:rPr>
          <w:rFonts w:ascii="Impact" w:hAnsi="Impact"/>
          <w:color w:val="000080"/>
          <w:sz w:val="36"/>
          <w:szCs w:val="36"/>
        </w:rPr>
        <w:t>Raslan</w:t>
      </w:r>
      <w:proofErr w:type="spellEnd"/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Department of Otorhinolaryngology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, Faculty of Medicine,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Assiut University, Assiut, Egypt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 xml:space="preserve">Correspondence to </w:t>
      </w:r>
      <w:proofErr w:type="spellStart"/>
      <w:r>
        <w:rPr>
          <w:rFonts w:asciiTheme="majorBidi" w:eastAsiaTheme="minorHAnsi" w:hAnsiTheme="majorBidi" w:cstheme="majorBidi"/>
          <w:sz w:val="28"/>
          <w:szCs w:val="28"/>
        </w:rPr>
        <w:t>Shimaa</w:t>
      </w:r>
      <w:proofErr w:type="spellEnd"/>
      <w:r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sz w:val="28"/>
          <w:szCs w:val="28"/>
        </w:rPr>
        <w:t>Ibrahem</w:t>
      </w:r>
      <w:proofErr w:type="spellEnd"/>
      <w:r>
        <w:rPr>
          <w:rFonts w:asciiTheme="majorBidi" w:eastAsiaTheme="minorHAnsi" w:hAnsiTheme="majorBidi" w:cstheme="majorBidi"/>
          <w:sz w:val="28"/>
          <w:szCs w:val="28"/>
        </w:rPr>
        <w:t xml:space="preserve"> Mohammed,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MSc, Department of Otorhinolaryngology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, Faculty of Medicine,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Assiut University, Assiut, Egypt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Tel: +201285876066.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 xml:space="preserve">        +201011976959</w:t>
      </w:r>
    </w:p>
    <w:p w:rsidR="00E96DD7" w:rsidRDefault="00E96DD7" w:rsidP="00E96DD7">
      <w:pPr>
        <w:adjustRightInd w:val="0"/>
        <w:spacing w:before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e</w:t>
      </w:r>
      <w:r>
        <w:rPr>
          <w:rFonts w:ascii="MS Mincho" w:eastAsia="MS Mincho" w:hAnsi="MS Mincho" w:cs="MS Mincho" w:hint="eastAsia"/>
          <w:sz w:val="28"/>
          <w:szCs w:val="28"/>
        </w:rPr>
        <w:noBreakHyphen/>
      </w:r>
      <w:r>
        <w:rPr>
          <w:rFonts w:asciiTheme="majorBidi" w:eastAsiaTheme="minorHAnsi" w:hAnsiTheme="majorBidi" w:cstheme="majorBidi"/>
          <w:sz w:val="28"/>
          <w:szCs w:val="28"/>
        </w:rPr>
        <w:t xml:space="preserve">mail: </w:t>
      </w:r>
      <w:hyperlink r:id="rId6" w:history="1">
        <w:r w:rsidRPr="00C37528">
          <w:rPr>
            <w:rStyle w:val="Hyperlink"/>
            <w:rFonts w:asciiTheme="majorBidi" w:eastAsiaTheme="minorHAnsi" w:hAnsiTheme="majorBidi" w:cstheme="majorBidi"/>
          </w:rPr>
          <w:t>dr.shimaaibrahem@gmail.com</w:t>
        </w:r>
      </w:hyperlink>
    </w:p>
    <w:p w:rsidR="00E96DD7" w:rsidRDefault="00E96DD7" w:rsidP="00E96DD7">
      <w:pPr>
        <w:adjustRightInd w:val="0"/>
        <w:spacing w:before="120" w:line="360" w:lineRule="auto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 xml:space="preserve">             </w:t>
      </w:r>
      <w:hyperlink r:id="rId7" w:history="1">
        <w:r w:rsidRPr="00C37528">
          <w:rPr>
            <w:rStyle w:val="Hyperlink"/>
            <w:rFonts w:asciiTheme="majorBidi" w:eastAsiaTheme="minorHAnsi" w:hAnsiTheme="majorBidi" w:cstheme="majorBidi"/>
          </w:rPr>
          <w:t>Shimaa.Ibrahem@aun.edu.eg</w:t>
        </w:r>
      </w:hyperlink>
    </w:p>
    <w:p w:rsidR="00E96DD7" w:rsidRDefault="00E96DD7" w:rsidP="00E96DD7">
      <w:pPr>
        <w:adjustRightInd w:val="0"/>
        <w:spacing w:before="120" w:line="360" w:lineRule="auto"/>
        <w:jc w:val="center"/>
        <w:rPr>
          <w:rFonts w:ascii="Impact" w:hAnsi="Impact"/>
          <w:sz w:val="34"/>
          <w:szCs w:val="34"/>
        </w:rPr>
      </w:pPr>
      <w:r>
        <w:rPr>
          <w:rFonts w:ascii="Impact" w:hAnsi="Impact"/>
          <w:sz w:val="34"/>
          <w:szCs w:val="34"/>
        </w:rPr>
        <w:t>Abstract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</w:rPr>
        <w:t>Background</w:t>
      </w:r>
    </w:p>
    <w:p w:rsidR="00E96DD7" w:rsidRPr="00460D11" w:rsidRDefault="00E96DD7" w:rsidP="00E96DD7">
      <w:pPr>
        <w:adjustRightInd w:val="0"/>
        <w:spacing w:before="120" w:line="360" w:lineRule="auto"/>
        <w:ind w:firstLine="720"/>
        <w:jc w:val="both"/>
        <w:rPr>
          <w:sz w:val="28"/>
          <w:szCs w:val="28"/>
          <w:lang w:bidi="ar-EG"/>
        </w:rPr>
      </w:pPr>
      <w:r w:rsidRPr="00A7479B">
        <w:rPr>
          <w:sz w:val="28"/>
          <w:szCs w:val="28"/>
          <w:lang w:bidi="ar-EG"/>
        </w:rPr>
        <w:t>Treatment of inflammatory and neoplastic disease</w:t>
      </w:r>
      <w:r>
        <w:rPr>
          <w:sz w:val="28"/>
          <w:szCs w:val="28"/>
          <w:lang w:bidi="ar-EG"/>
        </w:rPr>
        <w:t>s</w:t>
      </w:r>
      <w:r w:rsidRPr="00A7479B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>of</w:t>
      </w:r>
      <w:r w:rsidRPr="00A7479B">
        <w:rPr>
          <w:sz w:val="28"/>
          <w:szCs w:val="28"/>
          <w:lang w:bidi="ar-EG"/>
        </w:rPr>
        <w:t xml:space="preserve"> maxillary sinus </w:t>
      </w:r>
      <w:r>
        <w:rPr>
          <w:sz w:val="28"/>
          <w:szCs w:val="28"/>
          <w:lang w:bidi="ar-EG"/>
        </w:rPr>
        <w:t>r</w:t>
      </w:r>
      <w:r w:rsidRPr="00A7479B">
        <w:rPr>
          <w:sz w:val="28"/>
          <w:szCs w:val="28"/>
          <w:lang w:bidi="ar-EG"/>
        </w:rPr>
        <w:t>equires appropriate surgical exposure.</w:t>
      </w:r>
      <w:r>
        <w:rPr>
          <w:sz w:val="28"/>
          <w:szCs w:val="28"/>
          <w:lang w:bidi="ar-EG"/>
        </w:rPr>
        <w:t xml:space="preserve"> Despite the use of </w:t>
      </w:r>
      <w:r w:rsidRPr="00460D11">
        <w:rPr>
          <w:sz w:val="28"/>
          <w:szCs w:val="28"/>
          <w:lang w:bidi="ar-EG"/>
        </w:rPr>
        <w:t>multi-angulated telescopes with kinds of curved instruments, there are still some areas which cannot be viewed and handled</w:t>
      </w:r>
      <w:r>
        <w:rPr>
          <w:sz w:val="28"/>
          <w:szCs w:val="28"/>
          <w:lang w:bidi="ar-EG"/>
        </w:rPr>
        <w:t xml:space="preserve">. So further approaches other than the standard technique are needed to </w:t>
      </w:r>
      <w:r w:rsidRPr="00460D11">
        <w:rPr>
          <w:sz w:val="28"/>
          <w:szCs w:val="28"/>
          <w:lang w:bidi="ar-EG"/>
        </w:rPr>
        <w:t>improv</w:t>
      </w:r>
      <w:r>
        <w:rPr>
          <w:sz w:val="28"/>
          <w:szCs w:val="28"/>
          <w:lang w:bidi="ar-EG"/>
        </w:rPr>
        <w:t xml:space="preserve">e access and </w:t>
      </w:r>
      <w:r w:rsidRPr="00460D11">
        <w:rPr>
          <w:sz w:val="28"/>
          <w:szCs w:val="28"/>
          <w:lang w:bidi="ar-EG"/>
        </w:rPr>
        <w:t>visualization and ma</w:t>
      </w:r>
      <w:r>
        <w:rPr>
          <w:sz w:val="28"/>
          <w:szCs w:val="28"/>
          <w:lang w:bidi="ar-EG"/>
        </w:rPr>
        <w:t>k</w:t>
      </w:r>
      <w:r w:rsidRPr="00460D11">
        <w:rPr>
          <w:sz w:val="28"/>
          <w:szCs w:val="28"/>
          <w:lang w:bidi="ar-EG"/>
        </w:rPr>
        <w:t>e precise disease control possible.</w:t>
      </w:r>
    </w:p>
    <w:p w:rsidR="00E96DD7" w:rsidRDefault="00E96DD7" w:rsidP="00E96DD7">
      <w:pPr>
        <w:adjustRightInd w:val="0"/>
        <w:rPr>
          <w:sz w:val="28"/>
          <w:szCs w:val="28"/>
          <w:lang w:bidi="ar-EG"/>
        </w:rPr>
      </w:pP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</w:rPr>
        <w:t>Aim</w:t>
      </w:r>
    </w:p>
    <w:p w:rsidR="00E96DD7" w:rsidRPr="006A11C8" w:rsidRDefault="00E96DD7" w:rsidP="00E96DD7">
      <w:pPr>
        <w:adjustRightInd w:val="0"/>
        <w:spacing w:before="120" w:line="360" w:lineRule="auto"/>
        <w:ind w:firstLine="720"/>
        <w:jc w:val="both"/>
        <w:rPr>
          <w:sz w:val="28"/>
          <w:szCs w:val="28"/>
          <w:lang w:bidi="ar-EG"/>
        </w:rPr>
      </w:pPr>
      <w:r w:rsidRPr="006A11C8">
        <w:rPr>
          <w:sz w:val="28"/>
          <w:szCs w:val="28"/>
          <w:lang w:bidi="ar-EG"/>
        </w:rPr>
        <w:t>The aim of this study was to compare the outcomes of middle meatal antrostomy approach</w:t>
      </w:r>
      <w:r>
        <w:rPr>
          <w:sz w:val="28"/>
          <w:szCs w:val="28"/>
          <w:lang w:bidi="ar-EG"/>
        </w:rPr>
        <w:t xml:space="preserve"> -group A-</w:t>
      </w:r>
      <w:r w:rsidRPr="006A11C8">
        <w:rPr>
          <w:sz w:val="28"/>
          <w:szCs w:val="28"/>
          <w:lang w:bidi="ar-EG"/>
        </w:rPr>
        <w:t>, endoscopic prelacrimal recess approach</w:t>
      </w:r>
      <w:r>
        <w:rPr>
          <w:sz w:val="28"/>
          <w:szCs w:val="28"/>
          <w:lang w:bidi="ar-EG"/>
        </w:rPr>
        <w:t xml:space="preserve"> -group B- and</w:t>
      </w:r>
      <w:r w:rsidRPr="006A11C8">
        <w:rPr>
          <w:sz w:val="28"/>
          <w:szCs w:val="28"/>
          <w:lang w:bidi="ar-EG"/>
        </w:rPr>
        <w:t xml:space="preserve"> canine fossa approach</w:t>
      </w:r>
      <w:r>
        <w:rPr>
          <w:sz w:val="28"/>
          <w:szCs w:val="28"/>
          <w:lang w:bidi="ar-EG"/>
        </w:rPr>
        <w:t xml:space="preserve"> -group C.</w:t>
      </w:r>
      <w:r w:rsidRPr="006A11C8">
        <w:rPr>
          <w:sz w:val="28"/>
          <w:szCs w:val="28"/>
          <w:lang w:bidi="ar-EG"/>
        </w:rPr>
        <w:t xml:space="preserve">  </w:t>
      </w:r>
    </w:p>
    <w:p w:rsidR="00E96DD7" w:rsidRDefault="00E96DD7" w:rsidP="00E96DD7">
      <w:pPr>
        <w:adjustRightInd w:val="0"/>
        <w:rPr>
          <w:rFonts w:ascii="Helvetica-Bold" w:eastAsiaTheme="minorHAnsi" w:hAnsi="Helvetica-Bold" w:cs="Helvetica-Bold"/>
          <w:b/>
          <w:bCs/>
          <w:sz w:val="18"/>
          <w:szCs w:val="18"/>
        </w:rPr>
      </w:pP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</w:rPr>
        <w:t>Patients and methods</w:t>
      </w: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</w:rPr>
      </w:pPr>
    </w:p>
    <w:p w:rsidR="00E96DD7" w:rsidRPr="000C5D0E" w:rsidRDefault="00E96DD7" w:rsidP="00E96DD7">
      <w:pPr>
        <w:widowControl/>
        <w:adjustRightInd w:val="0"/>
        <w:spacing w:before="80" w:line="360" w:lineRule="auto"/>
        <w:ind w:left="360"/>
        <w:jc w:val="both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 w:rsidRPr="000C5D0E">
        <w:rPr>
          <w:sz w:val="28"/>
          <w:szCs w:val="28"/>
        </w:rPr>
        <w:t xml:space="preserve">The study included 60 patients with maxillary sinus lesions justifying surgery. Patients were classified into 3 groups A, B and C, each one included 20 patients and were subjected to </w:t>
      </w:r>
      <w:r w:rsidRPr="000C5D0E">
        <w:rPr>
          <w:sz w:val="28"/>
          <w:szCs w:val="28"/>
          <w:lang w:bidi="ar-EG"/>
        </w:rPr>
        <w:t xml:space="preserve">middle meatal antrostomy approach, endoscopic prelacrimal recess approach, and canine fossa approach </w:t>
      </w:r>
      <w:r w:rsidRPr="000C5D0E">
        <w:rPr>
          <w:sz w:val="28"/>
          <w:szCs w:val="28"/>
        </w:rPr>
        <w:t xml:space="preserve">respectively. Comparison between groups was done regarding </w:t>
      </w:r>
      <w:r w:rsidRPr="000C5D0E">
        <w:rPr>
          <w:bCs/>
          <w:sz w:val="28"/>
          <w:szCs w:val="28"/>
        </w:rPr>
        <w:t xml:space="preserve">accessibility of each approach to visualize and reach the different walls and recesses of the maxillary sinus, </w:t>
      </w:r>
      <w:r w:rsidRPr="000C5D0E">
        <w:rPr>
          <w:sz w:val="28"/>
          <w:szCs w:val="28"/>
        </w:rPr>
        <w:t xml:space="preserve">intraoperative or postoperative complications and </w:t>
      </w:r>
      <w:r w:rsidRPr="000C5D0E">
        <w:rPr>
          <w:bCs/>
          <w:sz w:val="28"/>
          <w:szCs w:val="28"/>
        </w:rPr>
        <w:t>postoperative recurrence</w:t>
      </w:r>
      <w:r>
        <w:rPr>
          <w:bCs/>
          <w:sz w:val="28"/>
          <w:szCs w:val="28"/>
        </w:rPr>
        <w:t>.</w:t>
      </w:r>
      <w:r w:rsidRPr="000C5D0E">
        <w:rPr>
          <w:bCs/>
          <w:sz w:val="28"/>
          <w:szCs w:val="28"/>
        </w:rPr>
        <w:t xml:space="preserve"> </w:t>
      </w:r>
    </w:p>
    <w:p w:rsidR="00E96DD7" w:rsidRPr="000C5D0E" w:rsidRDefault="00E96DD7" w:rsidP="00E96DD7">
      <w:pPr>
        <w:widowControl/>
        <w:adjustRightInd w:val="0"/>
        <w:spacing w:before="80" w:line="360" w:lineRule="auto"/>
        <w:ind w:left="360"/>
        <w:jc w:val="both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 w:rsidRPr="000C5D0E">
        <w:rPr>
          <w:rFonts w:asciiTheme="majorBidi" w:eastAsiaTheme="minorHAnsi" w:hAnsiTheme="majorBidi" w:cstheme="majorBidi"/>
          <w:b/>
          <w:bCs/>
          <w:sz w:val="32"/>
          <w:szCs w:val="32"/>
        </w:rPr>
        <w:t>Results</w:t>
      </w:r>
    </w:p>
    <w:p w:rsidR="00E96DD7" w:rsidRPr="00A82C90" w:rsidRDefault="00E96DD7" w:rsidP="00E96DD7">
      <w:pPr>
        <w:pStyle w:val="BodyText"/>
        <w:widowControl/>
        <w:spacing w:before="120" w:line="360" w:lineRule="auto"/>
        <w:ind w:firstLine="720"/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No significant difference was found between group B and C regarding complete accessibility to </w:t>
      </w:r>
      <w:r w:rsidRPr="00A82C90">
        <w:rPr>
          <w:rFonts w:asciiTheme="majorBidi" w:hAnsiTheme="majorBidi" w:cstheme="majorBidi"/>
          <w:sz w:val="28"/>
          <w:szCs w:val="28"/>
          <w:lang w:bidi="ar-EG"/>
        </w:rPr>
        <w:t>different walls and recesses of the maxillary sinus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Pr="00A82C90">
        <w:rPr>
          <w:sz w:val="28"/>
          <w:szCs w:val="28"/>
        </w:rPr>
        <w:t>Only three (15%) patients from those who underwent middle meatal antrostomy approach had radiological and endoscopic recurrence</w:t>
      </w:r>
      <w:r>
        <w:rPr>
          <w:sz w:val="28"/>
          <w:szCs w:val="28"/>
        </w:rPr>
        <w:t>, on the other hand</w:t>
      </w:r>
      <w:r w:rsidRPr="00A82C90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A82C90">
        <w:rPr>
          <w:sz w:val="28"/>
          <w:szCs w:val="28"/>
        </w:rPr>
        <w:t>one of those who underwent other approaches developed recurrence. Complications occurred in our study were quite few and not dangerous</w:t>
      </w:r>
      <w:r>
        <w:rPr>
          <w:sz w:val="28"/>
          <w:szCs w:val="28"/>
        </w:rPr>
        <w:t xml:space="preserve">. </w:t>
      </w:r>
    </w:p>
    <w:p w:rsidR="00E96DD7" w:rsidRDefault="00E96DD7" w:rsidP="00E96DD7">
      <w:pPr>
        <w:adjustRightInd w:val="0"/>
        <w:rPr>
          <w:rFonts w:ascii="Helvetica-Bold" w:eastAsiaTheme="minorHAnsi" w:hAnsi="Helvetica-Bold" w:cs="Helvetica-Bold"/>
          <w:b/>
          <w:bCs/>
          <w:sz w:val="18"/>
          <w:szCs w:val="18"/>
        </w:rPr>
      </w:pPr>
    </w:p>
    <w:p w:rsidR="00E96DD7" w:rsidRDefault="00E96DD7" w:rsidP="00E96DD7">
      <w:pPr>
        <w:adjustRightInd w:val="0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</w:rPr>
        <w:t>Conclusion</w:t>
      </w:r>
    </w:p>
    <w:p w:rsidR="00E96DD7" w:rsidRPr="00C04047" w:rsidRDefault="00E96DD7" w:rsidP="00E96DD7">
      <w:pPr>
        <w:pStyle w:val="BodyText"/>
        <w:widowControl/>
        <w:spacing w:before="12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04047">
        <w:rPr>
          <w:rFonts w:asciiTheme="majorBidi" w:hAnsiTheme="majorBidi" w:cstheme="majorBidi"/>
          <w:sz w:val="28"/>
          <w:szCs w:val="28"/>
          <w:lang w:bidi="ar-EG"/>
        </w:rPr>
        <w:t>Prelacrimal recess approach and canine fossa approach are useful methods for diverse maxillary sinus lesions with excellent accessibility to all walls and recesses without lacrimal duct or inferior tur</w:t>
      </w:r>
      <w:r w:rsidRPr="00C04047">
        <w:rPr>
          <w:rFonts w:asciiTheme="majorBidi" w:hAnsiTheme="majorBidi" w:cstheme="majorBidi"/>
          <w:sz w:val="28"/>
          <w:szCs w:val="28"/>
          <w:lang w:bidi="ar-EG"/>
        </w:rPr>
        <w:softHyphen/>
        <w:t>binate injury and less recurrence.</w:t>
      </w:r>
    </w:p>
    <w:p w:rsidR="00E96DD7" w:rsidRDefault="00E96DD7" w:rsidP="00E96DD7">
      <w:pPr>
        <w:adjustRightInd w:val="0"/>
        <w:rPr>
          <w:rFonts w:ascii="Helvetica-Bold" w:eastAsiaTheme="minorHAnsi" w:hAnsi="Helvetica-Bold" w:cs="Helvetica-Bold"/>
          <w:b/>
          <w:bCs/>
          <w:sz w:val="18"/>
          <w:szCs w:val="18"/>
        </w:rPr>
      </w:pPr>
      <w:r>
        <w:rPr>
          <w:rFonts w:asciiTheme="majorBidi" w:eastAsiaTheme="minorHAnsi" w:hAnsiTheme="majorBidi" w:cstheme="majorBidi"/>
          <w:b/>
          <w:bCs/>
          <w:sz w:val="32"/>
          <w:szCs w:val="32"/>
        </w:rPr>
        <w:t>Keywords</w:t>
      </w:r>
      <w:r>
        <w:rPr>
          <w:rFonts w:ascii="Helvetica-Bold" w:eastAsiaTheme="minorHAnsi" w:hAnsi="Helvetica-Bold" w:cs="Helvetica-Bold"/>
          <w:b/>
          <w:bCs/>
          <w:sz w:val="18"/>
          <w:szCs w:val="18"/>
        </w:rPr>
        <w:t>:</w:t>
      </w:r>
    </w:p>
    <w:p w:rsidR="00E96DD7" w:rsidRDefault="00E96DD7" w:rsidP="00E96DD7">
      <w:pPr>
        <w:adjustRightInd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</w:t>
      </w:r>
      <w:r w:rsidRPr="00A82C90">
        <w:rPr>
          <w:rFonts w:asciiTheme="majorBidi" w:hAnsiTheme="majorBidi" w:cstheme="majorBidi"/>
          <w:sz w:val="28"/>
          <w:szCs w:val="28"/>
          <w:lang w:bidi="ar-EG"/>
        </w:rPr>
        <w:t>axillary sinus</w:t>
      </w:r>
      <w:r w:rsidRPr="00417A18">
        <w:rPr>
          <w:rFonts w:asciiTheme="majorBidi" w:hAnsiTheme="majorBidi" w:cstheme="majorBidi"/>
          <w:sz w:val="28"/>
          <w:szCs w:val="28"/>
          <w:lang w:bidi="ar-EG"/>
        </w:rPr>
        <w:t>, endoscopic approaches,</w:t>
      </w:r>
      <w:r w:rsidRPr="00C0404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417A18">
        <w:rPr>
          <w:rFonts w:asciiTheme="majorBidi" w:hAnsiTheme="majorBidi" w:cstheme="majorBidi"/>
          <w:sz w:val="28"/>
          <w:szCs w:val="28"/>
          <w:lang w:bidi="ar-EG"/>
        </w:rPr>
        <w:t>middle meatal antrostomy approach,</w:t>
      </w:r>
      <w:r w:rsidRPr="00C0404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p</w:t>
      </w:r>
      <w:r w:rsidRPr="00C04047">
        <w:rPr>
          <w:rFonts w:asciiTheme="majorBidi" w:hAnsiTheme="majorBidi" w:cstheme="majorBidi"/>
          <w:sz w:val="28"/>
          <w:szCs w:val="28"/>
          <w:lang w:bidi="ar-EG"/>
        </w:rPr>
        <w:t>relacrimal recess approach, canine fossa approach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C5611C" w:rsidRDefault="00C5611C">
      <w:bookmarkStart w:id="0" w:name="_GoBack"/>
      <w:bookmarkEnd w:id="0"/>
    </w:p>
    <w:sectPr w:rsidR="00C561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8A"/>
    <w:rsid w:val="0087328A"/>
    <w:rsid w:val="00A97AAA"/>
    <w:rsid w:val="00B530FD"/>
    <w:rsid w:val="00C5611C"/>
    <w:rsid w:val="00E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DD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6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6DD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DD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6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6D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maa.Ibrahem@aun.edu.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shimaaibrahem@gmail.com" TargetMode="External"/><Relationship Id="rId5" Type="http://schemas.openxmlformats.org/officeDocument/2006/relationships/hyperlink" Target="http://www.aun.edu.eg/membercv.php?M_ID=2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2023-01-03T23:06:00Z</dcterms:created>
  <dcterms:modified xsi:type="dcterms:W3CDTF">2023-01-03T23:06:00Z</dcterms:modified>
</cp:coreProperties>
</file>